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6C4910" w14:paraId="38A08210" w14:textId="77777777">
        <w:tblPrEx>
          <w:tblCellMar>
            <w:top w:w="0" w:type="dxa"/>
            <w:bottom w:w="0" w:type="dxa"/>
          </w:tblCellMar>
        </w:tblPrEx>
        <w:trPr>
          <w:tblCellSpacing w:w="60" w:type="dxa"/>
        </w:trPr>
        <w:tc>
          <w:tcPr>
            <w:tcW w:w="1200" w:type="pct"/>
            <w:shd w:val="clear" w:color="auto" w:fill="E7F0F9"/>
          </w:tcPr>
          <w:p w14:paraId="6BC2781D" w14:textId="77777777" w:rsidR="006C4910" w:rsidRDefault="0065372D">
            <w:pPr>
              <w:spacing w:after="0" w:line="240" w:lineRule="auto"/>
            </w:pPr>
            <w:r>
              <w:rPr>
                <w:b/>
              </w:rPr>
              <w:t>RKP broj</w:t>
            </w:r>
          </w:p>
        </w:tc>
        <w:tc>
          <w:tcPr>
            <w:tcW w:w="0" w:type="auto"/>
            <w:shd w:val="clear" w:color="auto" w:fill="E7F0F9"/>
          </w:tcPr>
          <w:p w14:paraId="1E86E8DF" w14:textId="77777777" w:rsidR="006C4910" w:rsidRDefault="0065372D">
            <w:pPr>
              <w:spacing w:after="0" w:line="240" w:lineRule="auto"/>
            </w:pPr>
            <w:r>
              <w:t>42057</w:t>
            </w:r>
          </w:p>
        </w:tc>
      </w:tr>
      <w:tr w:rsidR="006C4910" w14:paraId="541B2EA9" w14:textId="77777777">
        <w:tblPrEx>
          <w:tblCellMar>
            <w:top w:w="0" w:type="dxa"/>
            <w:bottom w:w="0" w:type="dxa"/>
          </w:tblCellMar>
        </w:tblPrEx>
        <w:trPr>
          <w:tblCellSpacing w:w="60" w:type="dxa"/>
        </w:trPr>
        <w:tc>
          <w:tcPr>
            <w:tcW w:w="1200" w:type="pct"/>
            <w:shd w:val="clear" w:color="auto" w:fill="E7F0F9"/>
          </w:tcPr>
          <w:p w14:paraId="00AA6B7F" w14:textId="77777777" w:rsidR="006C4910" w:rsidRDefault="0065372D">
            <w:pPr>
              <w:spacing w:after="0" w:line="240" w:lineRule="auto"/>
            </w:pPr>
            <w:r>
              <w:rPr>
                <w:b/>
              </w:rPr>
              <w:t>Naziv obveznika</w:t>
            </w:r>
          </w:p>
        </w:tc>
        <w:tc>
          <w:tcPr>
            <w:tcW w:w="0" w:type="auto"/>
            <w:shd w:val="clear" w:color="auto" w:fill="E7F0F9"/>
          </w:tcPr>
          <w:p w14:paraId="24EA85C9" w14:textId="77777777" w:rsidR="006C4910" w:rsidRDefault="0065372D">
            <w:pPr>
              <w:spacing w:after="0" w:line="240" w:lineRule="auto"/>
            </w:pPr>
            <w:r>
              <w:t>Dom za djecu i odrasle - žrtve obiteljskog nasilja Duga-Zagreb</w:t>
            </w:r>
          </w:p>
        </w:tc>
      </w:tr>
      <w:tr w:rsidR="006C4910" w14:paraId="6EC1C171" w14:textId="77777777">
        <w:tblPrEx>
          <w:tblCellMar>
            <w:top w:w="0" w:type="dxa"/>
            <w:bottom w:w="0" w:type="dxa"/>
          </w:tblCellMar>
        </w:tblPrEx>
        <w:trPr>
          <w:tblCellSpacing w:w="60" w:type="dxa"/>
        </w:trPr>
        <w:tc>
          <w:tcPr>
            <w:tcW w:w="1200" w:type="pct"/>
            <w:shd w:val="clear" w:color="auto" w:fill="E7F0F9"/>
          </w:tcPr>
          <w:p w14:paraId="31D9E90B" w14:textId="77777777" w:rsidR="006C4910" w:rsidRDefault="0065372D">
            <w:pPr>
              <w:spacing w:after="0" w:line="240" w:lineRule="auto"/>
            </w:pPr>
            <w:r>
              <w:rPr>
                <w:b/>
              </w:rPr>
              <w:t>Razina</w:t>
            </w:r>
          </w:p>
        </w:tc>
        <w:tc>
          <w:tcPr>
            <w:tcW w:w="0" w:type="auto"/>
            <w:shd w:val="clear" w:color="auto" w:fill="E7F0F9"/>
          </w:tcPr>
          <w:p w14:paraId="0FCE0C7D" w14:textId="77777777" w:rsidR="006C4910" w:rsidRDefault="0065372D">
            <w:pPr>
              <w:spacing w:after="0" w:line="240" w:lineRule="auto"/>
            </w:pPr>
            <w:r>
              <w:t>31</w:t>
            </w:r>
          </w:p>
        </w:tc>
      </w:tr>
    </w:tbl>
    <w:p w14:paraId="1A27086F" w14:textId="77777777" w:rsidR="006C4910" w:rsidRDefault="0065372D">
      <w:r>
        <w:br/>
      </w:r>
    </w:p>
    <w:p w14:paraId="667B51E1" w14:textId="77777777" w:rsidR="006C4910" w:rsidRDefault="0065372D">
      <w:pPr>
        <w:spacing w:line="240" w:lineRule="auto"/>
        <w:jc w:val="center"/>
      </w:pPr>
      <w:r>
        <w:rPr>
          <w:b/>
          <w:sz w:val="28"/>
        </w:rPr>
        <w:t>BILJEŠKE UZ FINANCIJSKE IZVJEŠTAJE</w:t>
      </w:r>
    </w:p>
    <w:p w14:paraId="2401107D" w14:textId="77777777" w:rsidR="006C4910" w:rsidRDefault="0065372D">
      <w:pPr>
        <w:spacing w:line="240" w:lineRule="auto"/>
        <w:jc w:val="center"/>
      </w:pPr>
      <w:r>
        <w:rPr>
          <w:b/>
          <w:sz w:val="28"/>
        </w:rPr>
        <w:t>ZA RAZDOBLJE</w:t>
      </w:r>
    </w:p>
    <w:p w14:paraId="57E24687" w14:textId="77777777" w:rsidR="006C4910" w:rsidRDefault="0065372D">
      <w:pPr>
        <w:spacing w:line="240" w:lineRule="auto"/>
        <w:jc w:val="center"/>
      </w:pPr>
      <w:r>
        <w:rPr>
          <w:b/>
          <w:sz w:val="28"/>
        </w:rPr>
        <w:t>I - XII 2025.</w:t>
      </w:r>
    </w:p>
    <w:p w14:paraId="1EB88EF3" w14:textId="77777777" w:rsidR="006C4910" w:rsidRDefault="006C4910"/>
    <w:p w14:paraId="2950B4F4" w14:textId="77777777" w:rsidR="006C4910" w:rsidRDefault="0065372D">
      <w:pPr>
        <w:keepNext/>
        <w:spacing w:line="240" w:lineRule="auto"/>
        <w:jc w:val="center"/>
      </w:pPr>
      <w:r>
        <w:rPr>
          <w:b/>
          <w:sz w:val="28"/>
        </w:rPr>
        <w:t>Izvještaj o prihodima i rashodima, primicima i izdacima</w:t>
      </w:r>
    </w:p>
    <w:p w14:paraId="183AC2B8" w14:textId="77777777" w:rsidR="006C4910" w:rsidRDefault="0065372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645E05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4CCAA9"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07899E"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372C2B"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64930"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526891"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824A03" w14:textId="77777777" w:rsidR="006C4910" w:rsidRDefault="0065372D">
            <w:pPr>
              <w:keepNext/>
              <w:keepLines/>
              <w:spacing w:after="0" w:line="240" w:lineRule="auto"/>
              <w:jc w:val="center"/>
            </w:pPr>
            <w:r>
              <w:rPr>
                <w:b/>
                <w:sz w:val="18"/>
              </w:rPr>
              <w:t>Indeks (%)</w:t>
            </w:r>
          </w:p>
        </w:tc>
      </w:tr>
      <w:tr w:rsidR="006C4910" w14:paraId="61589B60" w14:textId="77777777">
        <w:tblPrEx>
          <w:tblCellMar>
            <w:top w:w="0" w:type="dxa"/>
            <w:bottom w:w="0" w:type="dxa"/>
          </w:tblCellMar>
        </w:tblPrEx>
        <w:trPr>
          <w:cantSplit/>
          <w:trHeight w:val="560"/>
        </w:trPr>
        <w:tc>
          <w:tcPr>
            <w:tcW w:w="700" w:type="dxa"/>
            <w:tcMar>
              <w:top w:w="0" w:type="dxa"/>
              <w:bottom w:w="0" w:type="dxa"/>
            </w:tcMar>
            <w:vAlign w:val="center"/>
          </w:tcPr>
          <w:p w14:paraId="06087986" w14:textId="77777777" w:rsidR="006C4910" w:rsidRDefault="0065372D">
            <w:pPr>
              <w:keepNext/>
              <w:keepLines/>
              <w:spacing w:after="0" w:line="240" w:lineRule="auto"/>
            </w:pPr>
            <w:r>
              <w:rPr>
                <w:sz w:val="18"/>
              </w:rPr>
              <w:t>6</w:t>
            </w:r>
          </w:p>
        </w:tc>
        <w:tc>
          <w:tcPr>
            <w:tcW w:w="3180" w:type="dxa"/>
            <w:tcMar>
              <w:top w:w="0" w:type="dxa"/>
              <w:bottom w:w="0" w:type="dxa"/>
            </w:tcMar>
            <w:vAlign w:val="center"/>
          </w:tcPr>
          <w:p w14:paraId="0E2AC819" w14:textId="77777777" w:rsidR="006C4910" w:rsidRDefault="0065372D">
            <w:pPr>
              <w:keepNext/>
              <w:keepLines/>
              <w:spacing w:after="0" w:line="240" w:lineRule="auto"/>
            </w:pPr>
            <w:r>
              <w:rPr>
                <w:sz w:val="18"/>
              </w:rPr>
              <w:t>PRIHODI POSLOVANJA (šifre 61+62+63+64+65+66+67+68)</w:t>
            </w:r>
          </w:p>
        </w:tc>
        <w:tc>
          <w:tcPr>
            <w:tcW w:w="700" w:type="dxa"/>
            <w:tcMar>
              <w:top w:w="0" w:type="dxa"/>
              <w:bottom w:w="0" w:type="dxa"/>
            </w:tcMar>
            <w:vAlign w:val="center"/>
          </w:tcPr>
          <w:p w14:paraId="1A4B2653" w14:textId="77777777" w:rsidR="006C4910" w:rsidRDefault="0065372D">
            <w:pPr>
              <w:keepNext/>
              <w:keepLines/>
              <w:spacing w:after="0" w:line="240" w:lineRule="auto"/>
            </w:pPr>
            <w:r>
              <w:rPr>
                <w:sz w:val="18"/>
              </w:rPr>
              <w:t>6</w:t>
            </w:r>
          </w:p>
        </w:tc>
        <w:tc>
          <w:tcPr>
            <w:tcW w:w="1860" w:type="dxa"/>
            <w:tcMar>
              <w:top w:w="0" w:type="dxa"/>
              <w:bottom w:w="0" w:type="dxa"/>
            </w:tcMar>
            <w:vAlign w:val="center"/>
          </w:tcPr>
          <w:p w14:paraId="5009FD51" w14:textId="77777777" w:rsidR="006C4910" w:rsidRDefault="0065372D">
            <w:pPr>
              <w:keepNext/>
              <w:keepLines/>
              <w:spacing w:after="0" w:line="240" w:lineRule="auto"/>
              <w:jc w:val="right"/>
            </w:pPr>
            <w:r>
              <w:rPr>
                <w:sz w:val="18"/>
              </w:rPr>
              <w:t>996.618,96</w:t>
            </w:r>
          </w:p>
        </w:tc>
        <w:tc>
          <w:tcPr>
            <w:tcW w:w="1860" w:type="dxa"/>
            <w:tcMar>
              <w:top w:w="0" w:type="dxa"/>
              <w:bottom w:w="0" w:type="dxa"/>
            </w:tcMar>
            <w:vAlign w:val="center"/>
          </w:tcPr>
          <w:p w14:paraId="2A47EAFD" w14:textId="77777777" w:rsidR="006C4910" w:rsidRDefault="0065372D">
            <w:pPr>
              <w:keepNext/>
              <w:keepLines/>
              <w:spacing w:after="0" w:line="240" w:lineRule="auto"/>
              <w:jc w:val="right"/>
            </w:pPr>
            <w:r>
              <w:rPr>
                <w:sz w:val="18"/>
              </w:rPr>
              <w:t>1.073.389,51</w:t>
            </w:r>
          </w:p>
        </w:tc>
        <w:tc>
          <w:tcPr>
            <w:tcW w:w="700" w:type="dxa"/>
            <w:tcMar>
              <w:top w:w="0" w:type="dxa"/>
              <w:bottom w:w="0" w:type="dxa"/>
            </w:tcMar>
            <w:vAlign w:val="center"/>
          </w:tcPr>
          <w:p w14:paraId="240EA83B" w14:textId="77777777" w:rsidR="006C4910" w:rsidRDefault="0065372D">
            <w:pPr>
              <w:keepNext/>
              <w:keepLines/>
              <w:spacing w:after="0" w:line="240" w:lineRule="auto"/>
              <w:jc w:val="right"/>
            </w:pPr>
            <w:r>
              <w:rPr>
                <w:sz w:val="18"/>
              </w:rPr>
              <w:t>107,7</w:t>
            </w:r>
          </w:p>
        </w:tc>
      </w:tr>
      <w:tr w:rsidR="006C4910" w14:paraId="1641C609" w14:textId="77777777">
        <w:tblPrEx>
          <w:tblCellMar>
            <w:top w:w="0" w:type="dxa"/>
            <w:bottom w:w="0" w:type="dxa"/>
          </w:tblCellMar>
        </w:tblPrEx>
        <w:trPr>
          <w:cantSplit/>
          <w:trHeight w:val="560"/>
        </w:trPr>
        <w:tc>
          <w:tcPr>
            <w:tcW w:w="700" w:type="dxa"/>
            <w:tcMar>
              <w:top w:w="0" w:type="dxa"/>
              <w:bottom w:w="0" w:type="dxa"/>
            </w:tcMar>
            <w:vAlign w:val="center"/>
          </w:tcPr>
          <w:p w14:paraId="1F4D97B4" w14:textId="77777777" w:rsidR="006C4910" w:rsidRDefault="0065372D">
            <w:pPr>
              <w:keepNext/>
              <w:keepLines/>
              <w:spacing w:after="0" w:line="240" w:lineRule="auto"/>
            </w:pPr>
            <w:r>
              <w:rPr>
                <w:sz w:val="18"/>
              </w:rPr>
              <w:t>3</w:t>
            </w:r>
          </w:p>
        </w:tc>
        <w:tc>
          <w:tcPr>
            <w:tcW w:w="3180" w:type="dxa"/>
            <w:tcMar>
              <w:top w:w="0" w:type="dxa"/>
              <w:bottom w:w="0" w:type="dxa"/>
            </w:tcMar>
            <w:vAlign w:val="center"/>
          </w:tcPr>
          <w:p w14:paraId="7EC1A875" w14:textId="77777777" w:rsidR="006C4910" w:rsidRDefault="0065372D">
            <w:pPr>
              <w:keepNext/>
              <w:keepLines/>
              <w:spacing w:after="0" w:line="240" w:lineRule="auto"/>
            </w:pPr>
            <w:r>
              <w:rPr>
                <w:sz w:val="18"/>
              </w:rPr>
              <w:t>RASHODI POSLOVANJA (šifre 31+32+34+35+36+37+38)</w:t>
            </w:r>
          </w:p>
        </w:tc>
        <w:tc>
          <w:tcPr>
            <w:tcW w:w="700" w:type="dxa"/>
            <w:tcMar>
              <w:top w:w="0" w:type="dxa"/>
              <w:bottom w:w="0" w:type="dxa"/>
            </w:tcMar>
            <w:vAlign w:val="center"/>
          </w:tcPr>
          <w:p w14:paraId="66688910" w14:textId="77777777" w:rsidR="006C4910" w:rsidRDefault="0065372D">
            <w:pPr>
              <w:keepNext/>
              <w:keepLines/>
              <w:spacing w:after="0" w:line="240" w:lineRule="auto"/>
            </w:pPr>
            <w:r>
              <w:rPr>
                <w:sz w:val="18"/>
              </w:rPr>
              <w:t>3</w:t>
            </w:r>
          </w:p>
        </w:tc>
        <w:tc>
          <w:tcPr>
            <w:tcW w:w="1860" w:type="dxa"/>
            <w:tcMar>
              <w:top w:w="0" w:type="dxa"/>
              <w:bottom w:w="0" w:type="dxa"/>
            </w:tcMar>
            <w:vAlign w:val="center"/>
          </w:tcPr>
          <w:p w14:paraId="535F0EB1" w14:textId="77777777" w:rsidR="006C4910" w:rsidRDefault="0065372D">
            <w:pPr>
              <w:keepNext/>
              <w:keepLines/>
              <w:spacing w:after="0" w:line="240" w:lineRule="auto"/>
              <w:jc w:val="right"/>
            </w:pPr>
            <w:r>
              <w:rPr>
                <w:sz w:val="18"/>
              </w:rPr>
              <w:t>948.285,25</w:t>
            </w:r>
          </w:p>
        </w:tc>
        <w:tc>
          <w:tcPr>
            <w:tcW w:w="1860" w:type="dxa"/>
            <w:tcMar>
              <w:top w:w="0" w:type="dxa"/>
              <w:bottom w:w="0" w:type="dxa"/>
            </w:tcMar>
            <w:vAlign w:val="center"/>
          </w:tcPr>
          <w:p w14:paraId="00C37B04" w14:textId="77777777" w:rsidR="006C4910" w:rsidRDefault="0065372D">
            <w:pPr>
              <w:keepNext/>
              <w:keepLines/>
              <w:spacing w:after="0" w:line="240" w:lineRule="auto"/>
              <w:jc w:val="right"/>
            </w:pPr>
            <w:r>
              <w:rPr>
                <w:sz w:val="18"/>
              </w:rPr>
              <w:t>1.030.875,88</w:t>
            </w:r>
          </w:p>
        </w:tc>
        <w:tc>
          <w:tcPr>
            <w:tcW w:w="700" w:type="dxa"/>
            <w:tcMar>
              <w:top w:w="0" w:type="dxa"/>
              <w:bottom w:w="0" w:type="dxa"/>
            </w:tcMar>
            <w:vAlign w:val="center"/>
          </w:tcPr>
          <w:p w14:paraId="6652EC57" w14:textId="77777777" w:rsidR="006C4910" w:rsidRDefault="0065372D">
            <w:pPr>
              <w:keepNext/>
              <w:keepLines/>
              <w:spacing w:after="0" w:line="240" w:lineRule="auto"/>
              <w:jc w:val="right"/>
            </w:pPr>
            <w:r>
              <w:rPr>
                <w:sz w:val="18"/>
              </w:rPr>
              <w:t>108,7</w:t>
            </w:r>
          </w:p>
        </w:tc>
      </w:tr>
      <w:tr w:rsidR="006C4910" w14:paraId="7F16FE27" w14:textId="77777777">
        <w:tblPrEx>
          <w:tblCellMar>
            <w:top w:w="0" w:type="dxa"/>
            <w:bottom w:w="0" w:type="dxa"/>
          </w:tblCellMar>
        </w:tblPrEx>
        <w:trPr>
          <w:cantSplit/>
          <w:trHeight w:val="560"/>
        </w:trPr>
        <w:tc>
          <w:tcPr>
            <w:tcW w:w="700" w:type="dxa"/>
            <w:tcMar>
              <w:top w:w="0" w:type="dxa"/>
              <w:bottom w:w="0" w:type="dxa"/>
            </w:tcMar>
            <w:vAlign w:val="center"/>
          </w:tcPr>
          <w:p w14:paraId="745712F2" w14:textId="77777777" w:rsidR="006C4910" w:rsidRDefault="006C4910">
            <w:pPr>
              <w:keepNext/>
              <w:keepLines/>
              <w:spacing w:after="0" w:line="240" w:lineRule="auto"/>
            </w:pPr>
          </w:p>
        </w:tc>
        <w:tc>
          <w:tcPr>
            <w:tcW w:w="3180" w:type="dxa"/>
            <w:tcMar>
              <w:top w:w="0" w:type="dxa"/>
              <w:bottom w:w="0" w:type="dxa"/>
            </w:tcMar>
            <w:vAlign w:val="center"/>
          </w:tcPr>
          <w:p w14:paraId="4B7EB949" w14:textId="77777777" w:rsidR="006C4910" w:rsidRDefault="0065372D">
            <w:pPr>
              <w:keepNext/>
              <w:keepLines/>
              <w:spacing w:after="0" w:line="240" w:lineRule="auto"/>
            </w:pPr>
            <w:r>
              <w:rPr>
                <w:b/>
                <w:sz w:val="18"/>
              </w:rPr>
              <w:t>VIŠAK PRIHODA POSLOVANJA (šifre 6-Z005)</w:t>
            </w:r>
          </w:p>
        </w:tc>
        <w:tc>
          <w:tcPr>
            <w:tcW w:w="700" w:type="dxa"/>
            <w:tcMar>
              <w:top w:w="0" w:type="dxa"/>
              <w:bottom w:w="0" w:type="dxa"/>
            </w:tcMar>
            <w:vAlign w:val="center"/>
          </w:tcPr>
          <w:p w14:paraId="57970A99" w14:textId="77777777" w:rsidR="006C4910" w:rsidRDefault="0065372D">
            <w:pPr>
              <w:keepNext/>
              <w:keepLines/>
              <w:spacing w:after="0" w:line="240" w:lineRule="auto"/>
            </w:pPr>
            <w:r>
              <w:rPr>
                <w:b/>
                <w:sz w:val="18"/>
              </w:rPr>
              <w:t>X001</w:t>
            </w:r>
          </w:p>
        </w:tc>
        <w:tc>
          <w:tcPr>
            <w:tcW w:w="1860" w:type="dxa"/>
            <w:tcMar>
              <w:top w:w="0" w:type="dxa"/>
              <w:bottom w:w="0" w:type="dxa"/>
            </w:tcMar>
            <w:vAlign w:val="center"/>
          </w:tcPr>
          <w:p w14:paraId="587E6AB2" w14:textId="77777777" w:rsidR="006C4910" w:rsidRDefault="0065372D">
            <w:pPr>
              <w:keepNext/>
              <w:keepLines/>
              <w:spacing w:after="0" w:line="240" w:lineRule="auto"/>
              <w:jc w:val="right"/>
            </w:pPr>
            <w:r>
              <w:rPr>
                <w:b/>
                <w:sz w:val="18"/>
              </w:rPr>
              <w:t>48.333,71</w:t>
            </w:r>
          </w:p>
        </w:tc>
        <w:tc>
          <w:tcPr>
            <w:tcW w:w="1860" w:type="dxa"/>
            <w:tcMar>
              <w:top w:w="0" w:type="dxa"/>
              <w:bottom w:w="0" w:type="dxa"/>
            </w:tcMar>
            <w:vAlign w:val="center"/>
          </w:tcPr>
          <w:p w14:paraId="04D003B6" w14:textId="77777777" w:rsidR="006C4910" w:rsidRDefault="0065372D">
            <w:pPr>
              <w:keepNext/>
              <w:keepLines/>
              <w:spacing w:after="0" w:line="240" w:lineRule="auto"/>
              <w:jc w:val="right"/>
            </w:pPr>
            <w:r>
              <w:rPr>
                <w:b/>
                <w:sz w:val="18"/>
              </w:rPr>
              <w:t>42.513,63</w:t>
            </w:r>
          </w:p>
        </w:tc>
        <w:tc>
          <w:tcPr>
            <w:tcW w:w="700" w:type="dxa"/>
            <w:tcMar>
              <w:top w:w="0" w:type="dxa"/>
              <w:bottom w:w="0" w:type="dxa"/>
            </w:tcMar>
            <w:vAlign w:val="center"/>
          </w:tcPr>
          <w:p w14:paraId="3B2B16D0" w14:textId="77777777" w:rsidR="006C4910" w:rsidRDefault="0065372D">
            <w:pPr>
              <w:keepNext/>
              <w:keepLines/>
              <w:spacing w:after="0" w:line="240" w:lineRule="auto"/>
              <w:jc w:val="right"/>
            </w:pPr>
            <w:r>
              <w:rPr>
                <w:b/>
                <w:sz w:val="18"/>
              </w:rPr>
              <w:t>88,0</w:t>
            </w:r>
          </w:p>
        </w:tc>
      </w:tr>
      <w:tr w:rsidR="006C4910" w14:paraId="3DBF806B" w14:textId="77777777">
        <w:tblPrEx>
          <w:tblCellMar>
            <w:top w:w="0" w:type="dxa"/>
            <w:bottom w:w="0" w:type="dxa"/>
          </w:tblCellMar>
        </w:tblPrEx>
        <w:trPr>
          <w:cantSplit/>
          <w:trHeight w:val="560"/>
        </w:trPr>
        <w:tc>
          <w:tcPr>
            <w:tcW w:w="700" w:type="dxa"/>
            <w:tcMar>
              <w:top w:w="0" w:type="dxa"/>
              <w:bottom w:w="0" w:type="dxa"/>
            </w:tcMar>
            <w:vAlign w:val="center"/>
          </w:tcPr>
          <w:p w14:paraId="30212125" w14:textId="77777777" w:rsidR="006C4910" w:rsidRDefault="0065372D">
            <w:pPr>
              <w:keepNext/>
              <w:keepLines/>
              <w:spacing w:after="0" w:line="240" w:lineRule="auto"/>
            </w:pPr>
            <w:r>
              <w:rPr>
                <w:sz w:val="18"/>
              </w:rPr>
              <w:t>7</w:t>
            </w:r>
          </w:p>
        </w:tc>
        <w:tc>
          <w:tcPr>
            <w:tcW w:w="3180" w:type="dxa"/>
            <w:tcMar>
              <w:top w:w="0" w:type="dxa"/>
              <w:bottom w:w="0" w:type="dxa"/>
            </w:tcMar>
            <w:vAlign w:val="center"/>
          </w:tcPr>
          <w:p w14:paraId="02014F67" w14:textId="77777777" w:rsidR="006C4910" w:rsidRDefault="0065372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74FD66C" w14:textId="77777777" w:rsidR="006C4910" w:rsidRDefault="0065372D">
            <w:pPr>
              <w:keepNext/>
              <w:keepLines/>
              <w:spacing w:after="0" w:line="240" w:lineRule="auto"/>
            </w:pPr>
            <w:r>
              <w:rPr>
                <w:sz w:val="18"/>
              </w:rPr>
              <w:t>7</w:t>
            </w:r>
          </w:p>
        </w:tc>
        <w:tc>
          <w:tcPr>
            <w:tcW w:w="1860" w:type="dxa"/>
            <w:tcMar>
              <w:top w:w="0" w:type="dxa"/>
              <w:bottom w:w="0" w:type="dxa"/>
            </w:tcMar>
            <w:vAlign w:val="center"/>
          </w:tcPr>
          <w:p w14:paraId="1CE1A2F6"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17358AE8" w14:textId="77777777" w:rsidR="006C4910" w:rsidRDefault="0065372D">
            <w:pPr>
              <w:keepNext/>
              <w:keepLines/>
              <w:spacing w:after="0" w:line="240" w:lineRule="auto"/>
              <w:jc w:val="right"/>
            </w:pPr>
            <w:r>
              <w:rPr>
                <w:sz w:val="18"/>
              </w:rPr>
              <w:t>2.700,00</w:t>
            </w:r>
          </w:p>
        </w:tc>
        <w:tc>
          <w:tcPr>
            <w:tcW w:w="700" w:type="dxa"/>
            <w:tcMar>
              <w:top w:w="0" w:type="dxa"/>
              <w:bottom w:w="0" w:type="dxa"/>
            </w:tcMar>
            <w:vAlign w:val="center"/>
          </w:tcPr>
          <w:p w14:paraId="7C1E9ED0" w14:textId="77777777" w:rsidR="006C4910" w:rsidRDefault="0065372D">
            <w:pPr>
              <w:keepNext/>
              <w:keepLines/>
              <w:spacing w:after="0" w:line="240" w:lineRule="auto"/>
              <w:jc w:val="right"/>
            </w:pPr>
            <w:r>
              <w:rPr>
                <w:sz w:val="18"/>
              </w:rPr>
              <w:t>-</w:t>
            </w:r>
          </w:p>
        </w:tc>
      </w:tr>
      <w:tr w:rsidR="006C4910" w14:paraId="6B801EDC" w14:textId="77777777">
        <w:tblPrEx>
          <w:tblCellMar>
            <w:top w:w="0" w:type="dxa"/>
            <w:bottom w:w="0" w:type="dxa"/>
          </w:tblCellMar>
        </w:tblPrEx>
        <w:trPr>
          <w:cantSplit/>
          <w:trHeight w:val="560"/>
        </w:trPr>
        <w:tc>
          <w:tcPr>
            <w:tcW w:w="700" w:type="dxa"/>
            <w:tcMar>
              <w:top w:w="0" w:type="dxa"/>
              <w:bottom w:w="0" w:type="dxa"/>
            </w:tcMar>
            <w:vAlign w:val="center"/>
          </w:tcPr>
          <w:p w14:paraId="76AE6BD9" w14:textId="77777777" w:rsidR="006C4910" w:rsidRDefault="0065372D">
            <w:pPr>
              <w:keepNext/>
              <w:keepLines/>
              <w:spacing w:after="0" w:line="240" w:lineRule="auto"/>
            </w:pPr>
            <w:r>
              <w:rPr>
                <w:sz w:val="18"/>
              </w:rPr>
              <w:t>4</w:t>
            </w:r>
          </w:p>
        </w:tc>
        <w:tc>
          <w:tcPr>
            <w:tcW w:w="3180" w:type="dxa"/>
            <w:tcMar>
              <w:top w:w="0" w:type="dxa"/>
              <w:bottom w:w="0" w:type="dxa"/>
            </w:tcMar>
            <w:vAlign w:val="center"/>
          </w:tcPr>
          <w:p w14:paraId="1C6C6204" w14:textId="77777777" w:rsidR="006C4910" w:rsidRDefault="0065372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4F8E270" w14:textId="77777777" w:rsidR="006C4910" w:rsidRDefault="0065372D">
            <w:pPr>
              <w:keepNext/>
              <w:keepLines/>
              <w:spacing w:after="0" w:line="240" w:lineRule="auto"/>
            </w:pPr>
            <w:r>
              <w:rPr>
                <w:sz w:val="18"/>
              </w:rPr>
              <w:t>4</w:t>
            </w:r>
          </w:p>
        </w:tc>
        <w:tc>
          <w:tcPr>
            <w:tcW w:w="1860" w:type="dxa"/>
            <w:tcMar>
              <w:top w:w="0" w:type="dxa"/>
              <w:bottom w:w="0" w:type="dxa"/>
            </w:tcMar>
            <w:vAlign w:val="center"/>
          </w:tcPr>
          <w:p w14:paraId="5B1391E4" w14:textId="77777777" w:rsidR="006C4910" w:rsidRDefault="0065372D">
            <w:pPr>
              <w:keepNext/>
              <w:keepLines/>
              <w:spacing w:after="0" w:line="240" w:lineRule="auto"/>
              <w:jc w:val="right"/>
            </w:pPr>
            <w:r>
              <w:rPr>
                <w:sz w:val="18"/>
              </w:rPr>
              <w:t>50.016,56</w:t>
            </w:r>
          </w:p>
        </w:tc>
        <w:tc>
          <w:tcPr>
            <w:tcW w:w="1860" w:type="dxa"/>
            <w:tcMar>
              <w:top w:w="0" w:type="dxa"/>
              <w:bottom w:w="0" w:type="dxa"/>
            </w:tcMar>
            <w:vAlign w:val="center"/>
          </w:tcPr>
          <w:p w14:paraId="18D0C24E" w14:textId="77777777" w:rsidR="006C4910" w:rsidRDefault="0065372D">
            <w:pPr>
              <w:keepNext/>
              <w:keepLines/>
              <w:spacing w:after="0" w:line="240" w:lineRule="auto"/>
              <w:jc w:val="right"/>
            </w:pPr>
            <w:r>
              <w:rPr>
                <w:sz w:val="18"/>
              </w:rPr>
              <w:t>35.004,08</w:t>
            </w:r>
          </w:p>
        </w:tc>
        <w:tc>
          <w:tcPr>
            <w:tcW w:w="700" w:type="dxa"/>
            <w:tcMar>
              <w:top w:w="0" w:type="dxa"/>
              <w:bottom w:w="0" w:type="dxa"/>
            </w:tcMar>
            <w:vAlign w:val="center"/>
          </w:tcPr>
          <w:p w14:paraId="1BBAE216" w14:textId="77777777" w:rsidR="006C4910" w:rsidRDefault="0065372D">
            <w:pPr>
              <w:keepNext/>
              <w:keepLines/>
              <w:spacing w:after="0" w:line="240" w:lineRule="auto"/>
              <w:jc w:val="right"/>
            </w:pPr>
            <w:r>
              <w:rPr>
                <w:sz w:val="18"/>
              </w:rPr>
              <w:t>70,0</w:t>
            </w:r>
          </w:p>
        </w:tc>
      </w:tr>
      <w:tr w:rsidR="006C4910" w14:paraId="54837486" w14:textId="77777777">
        <w:tblPrEx>
          <w:tblCellMar>
            <w:top w:w="0" w:type="dxa"/>
            <w:bottom w:w="0" w:type="dxa"/>
          </w:tblCellMar>
        </w:tblPrEx>
        <w:trPr>
          <w:cantSplit/>
          <w:trHeight w:val="560"/>
        </w:trPr>
        <w:tc>
          <w:tcPr>
            <w:tcW w:w="700" w:type="dxa"/>
            <w:tcMar>
              <w:top w:w="0" w:type="dxa"/>
              <w:bottom w:w="0" w:type="dxa"/>
            </w:tcMar>
            <w:vAlign w:val="center"/>
          </w:tcPr>
          <w:p w14:paraId="2D2CD8F5" w14:textId="77777777" w:rsidR="006C4910" w:rsidRDefault="006C4910">
            <w:pPr>
              <w:keepNext/>
              <w:keepLines/>
              <w:spacing w:after="0" w:line="240" w:lineRule="auto"/>
            </w:pPr>
          </w:p>
        </w:tc>
        <w:tc>
          <w:tcPr>
            <w:tcW w:w="3180" w:type="dxa"/>
            <w:tcMar>
              <w:top w:w="0" w:type="dxa"/>
              <w:bottom w:w="0" w:type="dxa"/>
            </w:tcMar>
            <w:vAlign w:val="center"/>
          </w:tcPr>
          <w:p w14:paraId="2C8BEC5F" w14:textId="77777777" w:rsidR="006C4910" w:rsidRDefault="0065372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EF7C94A" w14:textId="77777777" w:rsidR="006C4910" w:rsidRDefault="0065372D">
            <w:pPr>
              <w:keepNext/>
              <w:keepLines/>
              <w:spacing w:after="0" w:line="240" w:lineRule="auto"/>
            </w:pPr>
            <w:r>
              <w:rPr>
                <w:b/>
                <w:sz w:val="18"/>
              </w:rPr>
              <w:t>Y002</w:t>
            </w:r>
          </w:p>
        </w:tc>
        <w:tc>
          <w:tcPr>
            <w:tcW w:w="1860" w:type="dxa"/>
            <w:tcMar>
              <w:top w:w="0" w:type="dxa"/>
              <w:bottom w:w="0" w:type="dxa"/>
            </w:tcMar>
            <w:vAlign w:val="center"/>
          </w:tcPr>
          <w:p w14:paraId="52F1C804" w14:textId="77777777" w:rsidR="006C4910" w:rsidRDefault="0065372D">
            <w:pPr>
              <w:keepNext/>
              <w:keepLines/>
              <w:spacing w:after="0" w:line="240" w:lineRule="auto"/>
              <w:jc w:val="right"/>
            </w:pPr>
            <w:r>
              <w:rPr>
                <w:b/>
                <w:sz w:val="18"/>
              </w:rPr>
              <w:t>50.016,56</w:t>
            </w:r>
          </w:p>
        </w:tc>
        <w:tc>
          <w:tcPr>
            <w:tcW w:w="1860" w:type="dxa"/>
            <w:tcMar>
              <w:top w:w="0" w:type="dxa"/>
              <w:bottom w:w="0" w:type="dxa"/>
            </w:tcMar>
            <w:vAlign w:val="center"/>
          </w:tcPr>
          <w:p w14:paraId="20931AC5" w14:textId="77777777" w:rsidR="006C4910" w:rsidRDefault="0065372D">
            <w:pPr>
              <w:keepNext/>
              <w:keepLines/>
              <w:spacing w:after="0" w:line="240" w:lineRule="auto"/>
              <w:jc w:val="right"/>
            </w:pPr>
            <w:r>
              <w:rPr>
                <w:b/>
                <w:sz w:val="18"/>
              </w:rPr>
              <w:t>32.304,08</w:t>
            </w:r>
          </w:p>
        </w:tc>
        <w:tc>
          <w:tcPr>
            <w:tcW w:w="700" w:type="dxa"/>
            <w:tcMar>
              <w:top w:w="0" w:type="dxa"/>
              <w:bottom w:w="0" w:type="dxa"/>
            </w:tcMar>
            <w:vAlign w:val="center"/>
          </w:tcPr>
          <w:p w14:paraId="4676BED3" w14:textId="77777777" w:rsidR="006C4910" w:rsidRDefault="0065372D">
            <w:pPr>
              <w:keepNext/>
              <w:keepLines/>
              <w:spacing w:after="0" w:line="240" w:lineRule="auto"/>
              <w:jc w:val="right"/>
            </w:pPr>
            <w:r>
              <w:rPr>
                <w:b/>
                <w:sz w:val="18"/>
              </w:rPr>
              <w:t>64,6</w:t>
            </w:r>
          </w:p>
        </w:tc>
      </w:tr>
      <w:tr w:rsidR="006C4910" w14:paraId="4AA078D7" w14:textId="77777777">
        <w:tblPrEx>
          <w:tblCellMar>
            <w:top w:w="0" w:type="dxa"/>
            <w:bottom w:w="0" w:type="dxa"/>
          </w:tblCellMar>
        </w:tblPrEx>
        <w:trPr>
          <w:cantSplit/>
          <w:trHeight w:val="560"/>
        </w:trPr>
        <w:tc>
          <w:tcPr>
            <w:tcW w:w="700" w:type="dxa"/>
            <w:tcMar>
              <w:top w:w="0" w:type="dxa"/>
              <w:bottom w:w="0" w:type="dxa"/>
            </w:tcMar>
            <w:vAlign w:val="center"/>
          </w:tcPr>
          <w:p w14:paraId="521A2AA5" w14:textId="77777777" w:rsidR="006C4910" w:rsidRDefault="0065372D">
            <w:pPr>
              <w:keepNext/>
              <w:keepLines/>
              <w:spacing w:after="0" w:line="240" w:lineRule="auto"/>
            </w:pPr>
            <w:r>
              <w:rPr>
                <w:sz w:val="18"/>
              </w:rPr>
              <w:t>8</w:t>
            </w:r>
          </w:p>
        </w:tc>
        <w:tc>
          <w:tcPr>
            <w:tcW w:w="3180" w:type="dxa"/>
            <w:tcMar>
              <w:top w:w="0" w:type="dxa"/>
              <w:bottom w:w="0" w:type="dxa"/>
            </w:tcMar>
            <w:vAlign w:val="center"/>
          </w:tcPr>
          <w:p w14:paraId="50E2E058" w14:textId="77777777" w:rsidR="006C4910" w:rsidRDefault="0065372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AC57918" w14:textId="77777777" w:rsidR="006C4910" w:rsidRDefault="0065372D">
            <w:pPr>
              <w:keepNext/>
              <w:keepLines/>
              <w:spacing w:after="0" w:line="240" w:lineRule="auto"/>
            </w:pPr>
            <w:r>
              <w:rPr>
                <w:sz w:val="18"/>
              </w:rPr>
              <w:t>8</w:t>
            </w:r>
          </w:p>
        </w:tc>
        <w:tc>
          <w:tcPr>
            <w:tcW w:w="1860" w:type="dxa"/>
            <w:tcMar>
              <w:top w:w="0" w:type="dxa"/>
              <w:bottom w:w="0" w:type="dxa"/>
            </w:tcMar>
            <w:vAlign w:val="center"/>
          </w:tcPr>
          <w:p w14:paraId="74C3617C"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067FD51A"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711EEE14" w14:textId="77777777" w:rsidR="006C4910" w:rsidRDefault="0065372D">
            <w:pPr>
              <w:keepNext/>
              <w:keepLines/>
              <w:spacing w:after="0" w:line="240" w:lineRule="auto"/>
              <w:jc w:val="right"/>
            </w:pPr>
            <w:r>
              <w:rPr>
                <w:sz w:val="18"/>
              </w:rPr>
              <w:t>-</w:t>
            </w:r>
          </w:p>
        </w:tc>
      </w:tr>
      <w:tr w:rsidR="006C4910" w14:paraId="231E1DA9" w14:textId="77777777">
        <w:tblPrEx>
          <w:tblCellMar>
            <w:top w:w="0" w:type="dxa"/>
            <w:bottom w:w="0" w:type="dxa"/>
          </w:tblCellMar>
        </w:tblPrEx>
        <w:trPr>
          <w:cantSplit/>
          <w:trHeight w:val="560"/>
        </w:trPr>
        <w:tc>
          <w:tcPr>
            <w:tcW w:w="700" w:type="dxa"/>
            <w:tcMar>
              <w:top w:w="0" w:type="dxa"/>
              <w:bottom w:w="0" w:type="dxa"/>
            </w:tcMar>
            <w:vAlign w:val="center"/>
          </w:tcPr>
          <w:p w14:paraId="0948A873" w14:textId="77777777" w:rsidR="006C4910" w:rsidRDefault="0065372D">
            <w:pPr>
              <w:keepNext/>
              <w:keepLines/>
              <w:spacing w:after="0" w:line="240" w:lineRule="auto"/>
            </w:pPr>
            <w:r>
              <w:rPr>
                <w:sz w:val="18"/>
              </w:rPr>
              <w:t>5</w:t>
            </w:r>
          </w:p>
        </w:tc>
        <w:tc>
          <w:tcPr>
            <w:tcW w:w="3180" w:type="dxa"/>
            <w:tcMar>
              <w:top w:w="0" w:type="dxa"/>
              <w:bottom w:w="0" w:type="dxa"/>
            </w:tcMar>
            <w:vAlign w:val="center"/>
          </w:tcPr>
          <w:p w14:paraId="4372FD2C" w14:textId="77777777" w:rsidR="006C4910" w:rsidRDefault="0065372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D676012" w14:textId="77777777" w:rsidR="006C4910" w:rsidRDefault="0065372D">
            <w:pPr>
              <w:keepNext/>
              <w:keepLines/>
              <w:spacing w:after="0" w:line="240" w:lineRule="auto"/>
            </w:pPr>
            <w:r>
              <w:rPr>
                <w:sz w:val="18"/>
              </w:rPr>
              <w:t>5</w:t>
            </w:r>
          </w:p>
        </w:tc>
        <w:tc>
          <w:tcPr>
            <w:tcW w:w="1860" w:type="dxa"/>
            <w:tcMar>
              <w:top w:w="0" w:type="dxa"/>
              <w:bottom w:w="0" w:type="dxa"/>
            </w:tcMar>
            <w:vAlign w:val="center"/>
          </w:tcPr>
          <w:p w14:paraId="71DD5945"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53B697E3"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1EEDC7FE" w14:textId="77777777" w:rsidR="006C4910" w:rsidRDefault="0065372D">
            <w:pPr>
              <w:keepNext/>
              <w:keepLines/>
              <w:spacing w:after="0" w:line="240" w:lineRule="auto"/>
              <w:jc w:val="right"/>
            </w:pPr>
            <w:r>
              <w:rPr>
                <w:sz w:val="18"/>
              </w:rPr>
              <w:t>-</w:t>
            </w:r>
          </w:p>
        </w:tc>
      </w:tr>
      <w:tr w:rsidR="006C4910" w14:paraId="7B240EDA" w14:textId="77777777">
        <w:tblPrEx>
          <w:tblCellMar>
            <w:top w:w="0" w:type="dxa"/>
            <w:bottom w:w="0" w:type="dxa"/>
          </w:tblCellMar>
        </w:tblPrEx>
        <w:trPr>
          <w:cantSplit/>
          <w:trHeight w:val="560"/>
        </w:trPr>
        <w:tc>
          <w:tcPr>
            <w:tcW w:w="700" w:type="dxa"/>
            <w:tcMar>
              <w:top w:w="0" w:type="dxa"/>
              <w:bottom w:w="0" w:type="dxa"/>
            </w:tcMar>
            <w:vAlign w:val="center"/>
          </w:tcPr>
          <w:p w14:paraId="5564B3AF" w14:textId="77777777" w:rsidR="006C4910" w:rsidRDefault="006C4910">
            <w:pPr>
              <w:keepNext/>
              <w:keepLines/>
              <w:spacing w:after="0" w:line="240" w:lineRule="auto"/>
            </w:pPr>
          </w:p>
        </w:tc>
        <w:tc>
          <w:tcPr>
            <w:tcW w:w="3180" w:type="dxa"/>
            <w:tcMar>
              <w:top w:w="0" w:type="dxa"/>
              <w:bottom w:w="0" w:type="dxa"/>
            </w:tcMar>
            <w:vAlign w:val="center"/>
          </w:tcPr>
          <w:p w14:paraId="134E31DE" w14:textId="77777777" w:rsidR="006C4910" w:rsidRDefault="0065372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9DBDDB4" w14:textId="77777777" w:rsidR="006C4910" w:rsidRDefault="0065372D">
            <w:pPr>
              <w:keepNext/>
              <w:keepLines/>
              <w:spacing w:after="0" w:line="240" w:lineRule="auto"/>
            </w:pPr>
            <w:r>
              <w:rPr>
                <w:b/>
                <w:sz w:val="18"/>
              </w:rPr>
              <w:t>X003, Y003</w:t>
            </w:r>
          </w:p>
        </w:tc>
        <w:tc>
          <w:tcPr>
            <w:tcW w:w="1860" w:type="dxa"/>
            <w:tcMar>
              <w:top w:w="0" w:type="dxa"/>
              <w:bottom w:w="0" w:type="dxa"/>
            </w:tcMar>
            <w:vAlign w:val="center"/>
          </w:tcPr>
          <w:p w14:paraId="42D503E1" w14:textId="77777777" w:rsidR="006C4910" w:rsidRDefault="0065372D">
            <w:pPr>
              <w:keepNext/>
              <w:keepLines/>
              <w:spacing w:after="0" w:line="240" w:lineRule="auto"/>
              <w:jc w:val="right"/>
            </w:pPr>
            <w:r>
              <w:rPr>
                <w:b/>
                <w:sz w:val="18"/>
              </w:rPr>
              <w:t>0,00</w:t>
            </w:r>
          </w:p>
        </w:tc>
        <w:tc>
          <w:tcPr>
            <w:tcW w:w="1860" w:type="dxa"/>
            <w:tcMar>
              <w:top w:w="0" w:type="dxa"/>
              <w:bottom w:w="0" w:type="dxa"/>
            </w:tcMar>
            <w:vAlign w:val="center"/>
          </w:tcPr>
          <w:p w14:paraId="01029F24" w14:textId="77777777" w:rsidR="006C4910" w:rsidRDefault="0065372D">
            <w:pPr>
              <w:keepNext/>
              <w:keepLines/>
              <w:spacing w:after="0" w:line="240" w:lineRule="auto"/>
              <w:jc w:val="right"/>
            </w:pPr>
            <w:r>
              <w:rPr>
                <w:b/>
                <w:sz w:val="18"/>
              </w:rPr>
              <w:t>0,00</w:t>
            </w:r>
          </w:p>
        </w:tc>
        <w:tc>
          <w:tcPr>
            <w:tcW w:w="700" w:type="dxa"/>
            <w:tcMar>
              <w:top w:w="0" w:type="dxa"/>
              <w:bottom w:w="0" w:type="dxa"/>
            </w:tcMar>
            <w:vAlign w:val="center"/>
          </w:tcPr>
          <w:p w14:paraId="5C9FD7BB" w14:textId="77777777" w:rsidR="006C4910" w:rsidRDefault="0065372D">
            <w:pPr>
              <w:keepNext/>
              <w:keepLines/>
              <w:spacing w:after="0" w:line="240" w:lineRule="auto"/>
              <w:jc w:val="right"/>
            </w:pPr>
            <w:r>
              <w:rPr>
                <w:b/>
                <w:sz w:val="18"/>
              </w:rPr>
              <w:t>-</w:t>
            </w:r>
          </w:p>
        </w:tc>
      </w:tr>
      <w:tr w:rsidR="006C4910" w14:paraId="484C6696" w14:textId="77777777">
        <w:tblPrEx>
          <w:tblCellMar>
            <w:top w:w="0" w:type="dxa"/>
            <w:bottom w:w="0" w:type="dxa"/>
          </w:tblCellMar>
        </w:tblPrEx>
        <w:trPr>
          <w:cantSplit/>
          <w:trHeight w:val="560"/>
        </w:trPr>
        <w:tc>
          <w:tcPr>
            <w:tcW w:w="700" w:type="dxa"/>
            <w:tcMar>
              <w:top w:w="0" w:type="dxa"/>
              <w:bottom w:w="0" w:type="dxa"/>
            </w:tcMar>
            <w:vAlign w:val="center"/>
          </w:tcPr>
          <w:p w14:paraId="315AB868" w14:textId="77777777" w:rsidR="006C4910" w:rsidRDefault="006C4910">
            <w:pPr>
              <w:keepNext/>
              <w:keepLines/>
              <w:spacing w:after="0" w:line="240" w:lineRule="auto"/>
            </w:pPr>
          </w:p>
        </w:tc>
        <w:tc>
          <w:tcPr>
            <w:tcW w:w="3180" w:type="dxa"/>
            <w:tcMar>
              <w:top w:w="0" w:type="dxa"/>
              <w:bottom w:w="0" w:type="dxa"/>
            </w:tcMar>
            <w:vAlign w:val="center"/>
          </w:tcPr>
          <w:p w14:paraId="00614753" w14:textId="77777777" w:rsidR="006C4910" w:rsidRDefault="0065372D">
            <w:pPr>
              <w:keepNext/>
              <w:keepLines/>
              <w:spacing w:after="0" w:line="240" w:lineRule="auto"/>
            </w:pPr>
            <w:r>
              <w:rPr>
                <w:b/>
                <w:sz w:val="18"/>
              </w:rPr>
              <w:t>VIŠAK PRIHODA I PRIMITAKA (šifre X678-Y345)</w:t>
            </w:r>
          </w:p>
        </w:tc>
        <w:tc>
          <w:tcPr>
            <w:tcW w:w="700" w:type="dxa"/>
            <w:tcMar>
              <w:top w:w="0" w:type="dxa"/>
              <w:bottom w:w="0" w:type="dxa"/>
            </w:tcMar>
            <w:vAlign w:val="center"/>
          </w:tcPr>
          <w:p w14:paraId="2EF9F0F4" w14:textId="77777777" w:rsidR="006C4910" w:rsidRDefault="0065372D">
            <w:pPr>
              <w:keepNext/>
              <w:keepLines/>
              <w:spacing w:after="0" w:line="240" w:lineRule="auto"/>
            </w:pPr>
            <w:r>
              <w:rPr>
                <w:b/>
                <w:sz w:val="18"/>
              </w:rPr>
              <w:t>X005</w:t>
            </w:r>
          </w:p>
        </w:tc>
        <w:tc>
          <w:tcPr>
            <w:tcW w:w="1860" w:type="dxa"/>
            <w:tcMar>
              <w:top w:w="0" w:type="dxa"/>
              <w:bottom w:w="0" w:type="dxa"/>
            </w:tcMar>
            <w:vAlign w:val="center"/>
          </w:tcPr>
          <w:p w14:paraId="459D8427" w14:textId="77777777" w:rsidR="006C4910" w:rsidRDefault="0065372D">
            <w:pPr>
              <w:keepNext/>
              <w:keepLines/>
              <w:spacing w:after="0" w:line="240" w:lineRule="auto"/>
              <w:jc w:val="right"/>
            </w:pPr>
            <w:r>
              <w:rPr>
                <w:b/>
                <w:sz w:val="18"/>
              </w:rPr>
              <w:t>0,00</w:t>
            </w:r>
          </w:p>
        </w:tc>
        <w:tc>
          <w:tcPr>
            <w:tcW w:w="1860" w:type="dxa"/>
            <w:tcMar>
              <w:top w:w="0" w:type="dxa"/>
              <w:bottom w:w="0" w:type="dxa"/>
            </w:tcMar>
            <w:vAlign w:val="center"/>
          </w:tcPr>
          <w:p w14:paraId="46E3A748" w14:textId="77777777" w:rsidR="006C4910" w:rsidRDefault="0065372D">
            <w:pPr>
              <w:keepNext/>
              <w:keepLines/>
              <w:spacing w:after="0" w:line="240" w:lineRule="auto"/>
              <w:jc w:val="right"/>
            </w:pPr>
            <w:r>
              <w:rPr>
                <w:b/>
                <w:sz w:val="18"/>
              </w:rPr>
              <w:t>10.209,55</w:t>
            </w:r>
          </w:p>
        </w:tc>
        <w:tc>
          <w:tcPr>
            <w:tcW w:w="700" w:type="dxa"/>
            <w:tcMar>
              <w:top w:w="0" w:type="dxa"/>
              <w:bottom w:w="0" w:type="dxa"/>
            </w:tcMar>
            <w:vAlign w:val="center"/>
          </w:tcPr>
          <w:p w14:paraId="26954A34" w14:textId="77777777" w:rsidR="006C4910" w:rsidRDefault="0065372D">
            <w:pPr>
              <w:keepNext/>
              <w:keepLines/>
              <w:spacing w:after="0" w:line="240" w:lineRule="auto"/>
              <w:jc w:val="right"/>
            </w:pPr>
            <w:r>
              <w:rPr>
                <w:b/>
                <w:sz w:val="18"/>
              </w:rPr>
              <w:t>-</w:t>
            </w:r>
          </w:p>
        </w:tc>
      </w:tr>
    </w:tbl>
    <w:p w14:paraId="36085D16" w14:textId="77777777" w:rsidR="006C4910" w:rsidRDefault="006C4910">
      <w:pPr>
        <w:spacing w:after="0"/>
      </w:pPr>
    </w:p>
    <w:p w14:paraId="79E7F19A" w14:textId="77777777" w:rsidR="006C4910" w:rsidRDefault="0065372D">
      <w:r>
        <w:t>Dom Duga-Zagreb u 2025. godini, a i ranije, nije primio niti dao ni kratkoročne ni dugoročne zajmove i kredite, robne zajmove, financijske zajmove te nije primio niti platio kamate na temelju tih poslova, što je vidljivo iz financijskih izvješća.</w:t>
      </w:r>
    </w:p>
    <w:p w14:paraId="522C8E44" w14:textId="77777777" w:rsidR="006C4910" w:rsidRDefault="0065372D">
      <w:r>
        <w:lastRenderedPageBreak/>
        <w:t>Dom Duga - Zagreb je u 2025. godini ostvario višak prihoda nad rashodima zbog uplata donacija. Donacije nisu projektne stoga nisu evidentirane kao odgođeni prihodi, ali je trošenje dijela donacija ugovorno obvezano, stoga će potrošnja biti tijekom prvog kvartala 2026. godine prema dogovoru s donatorima.</w:t>
      </w:r>
    </w:p>
    <w:p w14:paraId="125AA125" w14:textId="77777777" w:rsidR="006C4910" w:rsidRDefault="0065372D">
      <w:r>
        <w:t> </w:t>
      </w:r>
    </w:p>
    <w:p w14:paraId="39E4C522" w14:textId="77777777" w:rsidR="006C4910" w:rsidRDefault="0065372D">
      <w:r>
        <w:br/>
      </w:r>
    </w:p>
    <w:p w14:paraId="186B8823" w14:textId="77777777" w:rsidR="006C4910" w:rsidRDefault="0065372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A697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5277EF"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00822"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D4C105"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FD86EE"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2E0F16"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05826D" w14:textId="77777777" w:rsidR="006C4910" w:rsidRDefault="0065372D">
            <w:pPr>
              <w:keepNext/>
              <w:keepLines/>
              <w:spacing w:after="0" w:line="240" w:lineRule="auto"/>
              <w:jc w:val="center"/>
            </w:pPr>
            <w:r>
              <w:rPr>
                <w:b/>
                <w:sz w:val="18"/>
              </w:rPr>
              <w:t>Indeks (%)</w:t>
            </w:r>
          </w:p>
        </w:tc>
      </w:tr>
      <w:tr w:rsidR="006C4910" w14:paraId="7F1034D4" w14:textId="77777777">
        <w:tblPrEx>
          <w:tblCellMar>
            <w:top w:w="0" w:type="dxa"/>
            <w:bottom w:w="0" w:type="dxa"/>
          </w:tblCellMar>
        </w:tblPrEx>
        <w:trPr>
          <w:cantSplit/>
          <w:trHeight w:val="560"/>
        </w:trPr>
        <w:tc>
          <w:tcPr>
            <w:tcW w:w="700" w:type="dxa"/>
            <w:tcMar>
              <w:top w:w="0" w:type="dxa"/>
              <w:bottom w:w="0" w:type="dxa"/>
            </w:tcMar>
            <w:vAlign w:val="center"/>
          </w:tcPr>
          <w:p w14:paraId="1BBC1FCE" w14:textId="77777777" w:rsidR="006C4910" w:rsidRDefault="0065372D">
            <w:pPr>
              <w:keepNext/>
              <w:keepLines/>
              <w:spacing w:after="0" w:line="240" w:lineRule="auto"/>
            </w:pPr>
            <w:r>
              <w:rPr>
                <w:sz w:val="18"/>
              </w:rPr>
              <w:t>632</w:t>
            </w:r>
          </w:p>
        </w:tc>
        <w:tc>
          <w:tcPr>
            <w:tcW w:w="3180" w:type="dxa"/>
            <w:tcMar>
              <w:top w:w="0" w:type="dxa"/>
              <w:bottom w:w="0" w:type="dxa"/>
            </w:tcMar>
            <w:vAlign w:val="center"/>
          </w:tcPr>
          <w:p w14:paraId="1B1CF323" w14:textId="77777777" w:rsidR="006C4910" w:rsidRDefault="0065372D">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40A83C43" w14:textId="77777777" w:rsidR="006C4910" w:rsidRDefault="0065372D">
            <w:pPr>
              <w:keepNext/>
              <w:keepLines/>
              <w:spacing w:after="0" w:line="240" w:lineRule="auto"/>
            </w:pPr>
            <w:r>
              <w:rPr>
                <w:sz w:val="18"/>
              </w:rPr>
              <w:t>632</w:t>
            </w:r>
          </w:p>
        </w:tc>
        <w:tc>
          <w:tcPr>
            <w:tcW w:w="1860" w:type="dxa"/>
            <w:tcMar>
              <w:top w:w="0" w:type="dxa"/>
              <w:bottom w:w="0" w:type="dxa"/>
            </w:tcMar>
            <w:vAlign w:val="center"/>
          </w:tcPr>
          <w:p w14:paraId="111CB92C" w14:textId="77777777" w:rsidR="006C4910" w:rsidRDefault="0065372D">
            <w:pPr>
              <w:keepNext/>
              <w:keepLines/>
              <w:spacing w:after="0" w:line="240" w:lineRule="auto"/>
              <w:jc w:val="right"/>
            </w:pPr>
            <w:r>
              <w:rPr>
                <w:sz w:val="18"/>
              </w:rPr>
              <w:t>9.247,00</w:t>
            </w:r>
          </w:p>
        </w:tc>
        <w:tc>
          <w:tcPr>
            <w:tcW w:w="1860" w:type="dxa"/>
            <w:tcMar>
              <w:top w:w="0" w:type="dxa"/>
              <w:bottom w:w="0" w:type="dxa"/>
            </w:tcMar>
            <w:vAlign w:val="center"/>
          </w:tcPr>
          <w:p w14:paraId="15F896DE" w14:textId="77777777" w:rsidR="006C4910" w:rsidRDefault="0065372D">
            <w:pPr>
              <w:keepNext/>
              <w:keepLines/>
              <w:spacing w:after="0" w:line="240" w:lineRule="auto"/>
              <w:jc w:val="right"/>
            </w:pPr>
            <w:r>
              <w:rPr>
                <w:sz w:val="18"/>
              </w:rPr>
              <w:t>850,00</w:t>
            </w:r>
          </w:p>
        </w:tc>
        <w:tc>
          <w:tcPr>
            <w:tcW w:w="700" w:type="dxa"/>
            <w:tcMar>
              <w:top w:w="0" w:type="dxa"/>
              <w:bottom w:w="0" w:type="dxa"/>
            </w:tcMar>
            <w:vAlign w:val="center"/>
          </w:tcPr>
          <w:p w14:paraId="7CC079DE" w14:textId="77777777" w:rsidR="006C4910" w:rsidRDefault="0065372D">
            <w:pPr>
              <w:keepNext/>
              <w:keepLines/>
              <w:spacing w:after="0" w:line="240" w:lineRule="auto"/>
              <w:jc w:val="right"/>
            </w:pPr>
            <w:r>
              <w:rPr>
                <w:sz w:val="18"/>
              </w:rPr>
              <w:t>9,2</w:t>
            </w:r>
          </w:p>
        </w:tc>
      </w:tr>
    </w:tbl>
    <w:p w14:paraId="2BC79A89" w14:textId="77777777" w:rsidR="006C4910" w:rsidRDefault="006C4910">
      <w:pPr>
        <w:spacing w:after="0"/>
      </w:pPr>
    </w:p>
    <w:p w14:paraId="23803471" w14:textId="77777777" w:rsidR="006C4910" w:rsidRDefault="0065372D">
      <w:r>
        <w:t>Dom Duga - Zagreb u 2025. godini nije imao pomoći iz EU fondova. U 2025. godini je financiranje međunarodnog projekta preuzela RBA Hrvatska stoga je iznos pomoći od međunarodnih organizacija manji nego u 2024. godini.</w:t>
      </w:r>
    </w:p>
    <w:p w14:paraId="08688F26" w14:textId="77777777" w:rsidR="006C4910" w:rsidRDefault="006C4910"/>
    <w:p w14:paraId="2E484BD8" w14:textId="77777777" w:rsidR="006C4910" w:rsidRDefault="0065372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8F38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92694C"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DE5B8E"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6B3359"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DB23A"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CB2D31"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918DA3" w14:textId="77777777" w:rsidR="006C4910" w:rsidRDefault="0065372D">
            <w:pPr>
              <w:keepNext/>
              <w:keepLines/>
              <w:spacing w:after="0" w:line="240" w:lineRule="auto"/>
              <w:jc w:val="center"/>
            </w:pPr>
            <w:r>
              <w:rPr>
                <w:b/>
                <w:sz w:val="18"/>
              </w:rPr>
              <w:t>Indeks (%)</w:t>
            </w:r>
          </w:p>
        </w:tc>
      </w:tr>
      <w:tr w:rsidR="006C4910" w14:paraId="50C1EA46" w14:textId="77777777">
        <w:tblPrEx>
          <w:tblCellMar>
            <w:top w:w="0" w:type="dxa"/>
            <w:bottom w:w="0" w:type="dxa"/>
          </w:tblCellMar>
        </w:tblPrEx>
        <w:trPr>
          <w:cantSplit/>
          <w:trHeight w:val="560"/>
        </w:trPr>
        <w:tc>
          <w:tcPr>
            <w:tcW w:w="700" w:type="dxa"/>
            <w:tcMar>
              <w:top w:w="0" w:type="dxa"/>
              <w:bottom w:w="0" w:type="dxa"/>
            </w:tcMar>
            <w:vAlign w:val="center"/>
          </w:tcPr>
          <w:p w14:paraId="30D20744" w14:textId="77777777" w:rsidR="006C4910" w:rsidRDefault="0065372D">
            <w:pPr>
              <w:keepNext/>
              <w:keepLines/>
              <w:spacing w:after="0" w:line="240" w:lineRule="auto"/>
            </w:pPr>
            <w:r>
              <w:rPr>
                <w:sz w:val="18"/>
              </w:rPr>
              <w:t>6526</w:t>
            </w:r>
          </w:p>
        </w:tc>
        <w:tc>
          <w:tcPr>
            <w:tcW w:w="3180" w:type="dxa"/>
            <w:tcMar>
              <w:top w:w="0" w:type="dxa"/>
              <w:bottom w:w="0" w:type="dxa"/>
            </w:tcMar>
            <w:vAlign w:val="center"/>
          </w:tcPr>
          <w:p w14:paraId="046D98FE" w14:textId="77777777" w:rsidR="006C4910" w:rsidRDefault="0065372D">
            <w:pPr>
              <w:keepNext/>
              <w:keepLines/>
              <w:spacing w:after="0" w:line="240" w:lineRule="auto"/>
            </w:pPr>
            <w:r>
              <w:rPr>
                <w:sz w:val="18"/>
              </w:rPr>
              <w:t>Ostali nespomenuti prihodi</w:t>
            </w:r>
          </w:p>
        </w:tc>
        <w:tc>
          <w:tcPr>
            <w:tcW w:w="700" w:type="dxa"/>
            <w:tcMar>
              <w:top w:w="0" w:type="dxa"/>
              <w:bottom w:w="0" w:type="dxa"/>
            </w:tcMar>
            <w:vAlign w:val="center"/>
          </w:tcPr>
          <w:p w14:paraId="7B930137" w14:textId="77777777" w:rsidR="006C4910" w:rsidRDefault="0065372D">
            <w:pPr>
              <w:keepNext/>
              <w:keepLines/>
              <w:spacing w:after="0" w:line="240" w:lineRule="auto"/>
            </w:pPr>
            <w:r>
              <w:rPr>
                <w:sz w:val="18"/>
              </w:rPr>
              <w:t>6526</w:t>
            </w:r>
          </w:p>
        </w:tc>
        <w:tc>
          <w:tcPr>
            <w:tcW w:w="1860" w:type="dxa"/>
            <w:tcMar>
              <w:top w:w="0" w:type="dxa"/>
              <w:bottom w:w="0" w:type="dxa"/>
            </w:tcMar>
            <w:vAlign w:val="center"/>
          </w:tcPr>
          <w:p w14:paraId="51A29CFB" w14:textId="77777777" w:rsidR="006C4910" w:rsidRDefault="0065372D">
            <w:pPr>
              <w:keepNext/>
              <w:keepLines/>
              <w:spacing w:after="0" w:line="240" w:lineRule="auto"/>
              <w:jc w:val="right"/>
            </w:pPr>
            <w:r>
              <w:rPr>
                <w:sz w:val="18"/>
              </w:rPr>
              <w:t>156,25</w:t>
            </w:r>
          </w:p>
        </w:tc>
        <w:tc>
          <w:tcPr>
            <w:tcW w:w="1860" w:type="dxa"/>
            <w:tcMar>
              <w:top w:w="0" w:type="dxa"/>
              <w:bottom w:w="0" w:type="dxa"/>
            </w:tcMar>
            <w:vAlign w:val="center"/>
          </w:tcPr>
          <w:p w14:paraId="666D28B7"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04BFE507" w14:textId="77777777" w:rsidR="006C4910" w:rsidRDefault="0065372D">
            <w:pPr>
              <w:keepNext/>
              <w:keepLines/>
              <w:spacing w:after="0" w:line="240" w:lineRule="auto"/>
              <w:jc w:val="right"/>
            </w:pPr>
            <w:r>
              <w:rPr>
                <w:sz w:val="18"/>
              </w:rPr>
              <w:t>0</w:t>
            </w:r>
          </w:p>
        </w:tc>
      </w:tr>
    </w:tbl>
    <w:p w14:paraId="3A456A21" w14:textId="77777777" w:rsidR="006C4910" w:rsidRDefault="006C4910">
      <w:pPr>
        <w:spacing w:after="0"/>
      </w:pPr>
    </w:p>
    <w:p w14:paraId="140540A5" w14:textId="77777777" w:rsidR="006C4910" w:rsidRDefault="0065372D">
      <w:r>
        <w:t>U 2025. godini nije bilo refundacije štete od strane osiguravajućih kuća.</w:t>
      </w:r>
    </w:p>
    <w:p w14:paraId="288DA673" w14:textId="77777777" w:rsidR="006C4910" w:rsidRDefault="006C4910"/>
    <w:p w14:paraId="5D375F92" w14:textId="77777777" w:rsidR="006C4910" w:rsidRDefault="0065372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EEAA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5A3D0E"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E513D6"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36B2BD"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73C6C4"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9D1954"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E19A55" w14:textId="77777777" w:rsidR="006C4910" w:rsidRDefault="0065372D">
            <w:pPr>
              <w:keepNext/>
              <w:keepLines/>
              <w:spacing w:after="0" w:line="240" w:lineRule="auto"/>
              <w:jc w:val="center"/>
            </w:pPr>
            <w:r>
              <w:rPr>
                <w:b/>
                <w:sz w:val="18"/>
              </w:rPr>
              <w:t>Indeks (%)</w:t>
            </w:r>
          </w:p>
        </w:tc>
      </w:tr>
      <w:tr w:rsidR="006C4910" w14:paraId="5ACC425B" w14:textId="77777777">
        <w:tblPrEx>
          <w:tblCellMar>
            <w:top w:w="0" w:type="dxa"/>
            <w:bottom w:w="0" w:type="dxa"/>
          </w:tblCellMar>
        </w:tblPrEx>
        <w:trPr>
          <w:cantSplit/>
          <w:trHeight w:val="560"/>
        </w:trPr>
        <w:tc>
          <w:tcPr>
            <w:tcW w:w="700" w:type="dxa"/>
            <w:tcMar>
              <w:top w:w="0" w:type="dxa"/>
              <w:bottom w:w="0" w:type="dxa"/>
            </w:tcMar>
            <w:vAlign w:val="center"/>
          </w:tcPr>
          <w:p w14:paraId="6A4341DB" w14:textId="77777777" w:rsidR="006C4910" w:rsidRDefault="0065372D">
            <w:pPr>
              <w:keepNext/>
              <w:keepLines/>
              <w:spacing w:after="0" w:line="240" w:lineRule="auto"/>
            </w:pPr>
            <w:r>
              <w:rPr>
                <w:sz w:val="18"/>
              </w:rPr>
              <w:t>661</w:t>
            </w:r>
          </w:p>
        </w:tc>
        <w:tc>
          <w:tcPr>
            <w:tcW w:w="3180" w:type="dxa"/>
            <w:tcMar>
              <w:top w:w="0" w:type="dxa"/>
              <w:bottom w:w="0" w:type="dxa"/>
            </w:tcMar>
            <w:vAlign w:val="center"/>
          </w:tcPr>
          <w:p w14:paraId="314266E5" w14:textId="77777777" w:rsidR="006C4910" w:rsidRDefault="0065372D">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5B722E17" w14:textId="77777777" w:rsidR="006C4910" w:rsidRDefault="0065372D">
            <w:pPr>
              <w:keepNext/>
              <w:keepLines/>
              <w:spacing w:after="0" w:line="240" w:lineRule="auto"/>
            </w:pPr>
            <w:r>
              <w:rPr>
                <w:sz w:val="18"/>
              </w:rPr>
              <w:t>661</w:t>
            </w:r>
          </w:p>
        </w:tc>
        <w:tc>
          <w:tcPr>
            <w:tcW w:w="1860" w:type="dxa"/>
            <w:tcMar>
              <w:top w:w="0" w:type="dxa"/>
              <w:bottom w:w="0" w:type="dxa"/>
            </w:tcMar>
            <w:vAlign w:val="center"/>
          </w:tcPr>
          <w:p w14:paraId="465F0C76" w14:textId="77777777" w:rsidR="006C4910" w:rsidRDefault="0065372D">
            <w:pPr>
              <w:keepNext/>
              <w:keepLines/>
              <w:spacing w:after="0" w:line="240" w:lineRule="auto"/>
              <w:jc w:val="right"/>
            </w:pPr>
            <w:r>
              <w:rPr>
                <w:sz w:val="18"/>
              </w:rPr>
              <w:t>1.200,00</w:t>
            </w:r>
          </w:p>
        </w:tc>
        <w:tc>
          <w:tcPr>
            <w:tcW w:w="1860" w:type="dxa"/>
            <w:tcMar>
              <w:top w:w="0" w:type="dxa"/>
              <w:bottom w:w="0" w:type="dxa"/>
            </w:tcMar>
            <w:vAlign w:val="center"/>
          </w:tcPr>
          <w:p w14:paraId="476DD81E"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5C08DB27" w14:textId="77777777" w:rsidR="006C4910" w:rsidRDefault="0065372D">
            <w:pPr>
              <w:keepNext/>
              <w:keepLines/>
              <w:spacing w:after="0" w:line="240" w:lineRule="auto"/>
              <w:jc w:val="right"/>
            </w:pPr>
            <w:r>
              <w:rPr>
                <w:sz w:val="18"/>
              </w:rPr>
              <w:t>0</w:t>
            </w:r>
          </w:p>
        </w:tc>
      </w:tr>
    </w:tbl>
    <w:p w14:paraId="691A7911" w14:textId="77777777" w:rsidR="006C4910" w:rsidRDefault="006C4910">
      <w:pPr>
        <w:spacing w:after="0"/>
      </w:pPr>
    </w:p>
    <w:p w14:paraId="37A3837A" w14:textId="77777777" w:rsidR="006C4910" w:rsidRDefault="0065372D">
      <w:r>
        <w:t>U 2025. godini Dom Duga - Zagreb nije učestvovao kao vanjski suradnik na projektima, stoga nije bilo prihoda od vlastitih sredstava kroz pružanje usluga edukacije zaposlenicima drugih ustanova i članovima udruga.</w:t>
      </w:r>
    </w:p>
    <w:p w14:paraId="16F7B44B" w14:textId="77777777" w:rsidR="006C4910" w:rsidRDefault="006C4910"/>
    <w:p w14:paraId="37CC53F9" w14:textId="77777777" w:rsidR="006C4910" w:rsidRDefault="0065372D">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904C0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E502C"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16843A"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B492F"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37F0A"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7DA349"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EDFCB7" w14:textId="77777777" w:rsidR="006C4910" w:rsidRDefault="0065372D">
            <w:pPr>
              <w:keepNext/>
              <w:keepLines/>
              <w:spacing w:after="0" w:line="240" w:lineRule="auto"/>
              <w:jc w:val="center"/>
            </w:pPr>
            <w:r>
              <w:rPr>
                <w:b/>
                <w:sz w:val="18"/>
              </w:rPr>
              <w:t>Indeks (%)</w:t>
            </w:r>
          </w:p>
        </w:tc>
      </w:tr>
      <w:tr w:rsidR="006C4910" w14:paraId="17C1DABB" w14:textId="77777777">
        <w:tblPrEx>
          <w:tblCellMar>
            <w:top w:w="0" w:type="dxa"/>
            <w:bottom w:w="0" w:type="dxa"/>
          </w:tblCellMar>
        </w:tblPrEx>
        <w:trPr>
          <w:cantSplit/>
          <w:trHeight w:val="560"/>
        </w:trPr>
        <w:tc>
          <w:tcPr>
            <w:tcW w:w="700" w:type="dxa"/>
            <w:tcMar>
              <w:top w:w="0" w:type="dxa"/>
              <w:bottom w:w="0" w:type="dxa"/>
            </w:tcMar>
            <w:vAlign w:val="center"/>
          </w:tcPr>
          <w:p w14:paraId="464AE4E3" w14:textId="77777777" w:rsidR="006C4910" w:rsidRDefault="0065372D">
            <w:pPr>
              <w:keepNext/>
              <w:keepLines/>
              <w:spacing w:after="0" w:line="240" w:lineRule="auto"/>
            </w:pPr>
            <w:r>
              <w:rPr>
                <w:sz w:val="18"/>
              </w:rPr>
              <w:t>6631</w:t>
            </w:r>
          </w:p>
        </w:tc>
        <w:tc>
          <w:tcPr>
            <w:tcW w:w="3180" w:type="dxa"/>
            <w:tcMar>
              <w:top w:w="0" w:type="dxa"/>
              <w:bottom w:w="0" w:type="dxa"/>
            </w:tcMar>
            <w:vAlign w:val="center"/>
          </w:tcPr>
          <w:p w14:paraId="423BB5E7" w14:textId="77777777" w:rsidR="006C4910" w:rsidRDefault="0065372D">
            <w:pPr>
              <w:keepNext/>
              <w:keepLines/>
              <w:spacing w:after="0" w:line="240" w:lineRule="auto"/>
            </w:pPr>
            <w:r>
              <w:rPr>
                <w:sz w:val="18"/>
              </w:rPr>
              <w:t>Tekuće donacije</w:t>
            </w:r>
          </w:p>
        </w:tc>
        <w:tc>
          <w:tcPr>
            <w:tcW w:w="700" w:type="dxa"/>
            <w:tcMar>
              <w:top w:w="0" w:type="dxa"/>
              <w:bottom w:w="0" w:type="dxa"/>
            </w:tcMar>
            <w:vAlign w:val="center"/>
          </w:tcPr>
          <w:p w14:paraId="07BE25CE" w14:textId="77777777" w:rsidR="006C4910" w:rsidRDefault="0065372D">
            <w:pPr>
              <w:keepNext/>
              <w:keepLines/>
              <w:spacing w:after="0" w:line="240" w:lineRule="auto"/>
            </w:pPr>
            <w:r>
              <w:rPr>
                <w:sz w:val="18"/>
              </w:rPr>
              <w:t>6631</w:t>
            </w:r>
          </w:p>
        </w:tc>
        <w:tc>
          <w:tcPr>
            <w:tcW w:w="1860" w:type="dxa"/>
            <w:tcMar>
              <w:top w:w="0" w:type="dxa"/>
              <w:bottom w:w="0" w:type="dxa"/>
            </w:tcMar>
            <w:vAlign w:val="center"/>
          </w:tcPr>
          <w:p w14:paraId="24BCFCDF" w14:textId="77777777" w:rsidR="006C4910" w:rsidRDefault="0065372D">
            <w:pPr>
              <w:keepNext/>
              <w:keepLines/>
              <w:spacing w:after="0" w:line="240" w:lineRule="auto"/>
              <w:jc w:val="right"/>
            </w:pPr>
            <w:r>
              <w:rPr>
                <w:sz w:val="18"/>
              </w:rPr>
              <w:t>32.919,19</w:t>
            </w:r>
          </w:p>
        </w:tc>
        <w:tc>
          <w:tcPr>
            <w:tcW w:w="1860" w:type="dxa"/>
            <w:tcMar>
              <w:top w:w="0" w:type="dxa"/>
              <w:bottom w:w="0" w:type="dxa"/>
            </w:tcMar>
            <w:vAlign w:val="center"/>
          </w:tcPr>
          <w:p w14:paraId="013DB0DC" w14:textId="77777777" w:rsidR="006C4910" w:rsidRDefault="0065372D">
            <w:pPr>
              <w:keepNext/>
              <w:keepLines/>
              <w:spacing w:after="0" w:line="240" w:lineRule="auto"/>
              <w:jc w:val="right"/>
            </w:pPr>
            <w:r>
              <w:rPr>
                <w:sz w:val="18"/>
              </w:rPr>
              <w:t>25.136,20</w:t>
            </w:r>
          </w:p>
        </w:tc>
        <w:tc>
          <w:tcPr>
            <w:tcW w:w="700" w:type="dxa"/>
            <w:tcMar>
              <w:top w:w="0" w:type="dxa"/>
              <w:bottom w:w="0" w:type="dxa"/>
            </w:tcMar>
            <w:vAlign w:val="center"/>
          </w:tcPr>
          <w:p w14:paraId="36B6A417" w14:textId="77777777" w:rsidR="006C4910" w:rsidRDefault="0065372D">
            <w:pPr>
              <w:keepNext/>
              <w:keepLines/>
              <w:spacing w:after="0" w:line="240" w:lineRule="auto"/>
              <w:jc w:val="right"/>
            </w:pPr>
            <w:r>
              <w:rPr>
                <w:sz w:val="18"/>
              </w:rPr>
              <w:t>76,4</w:t>
            </w:r>
          </w:p>
        </w:tc>
      </w:tr>
    </w:tbl>
    <w:p w14:paraId="02F0E4BF" w14:textId="77777777" w:rsidR="006C4910" w:rsidRDefault="006C4910">
      <w:pPr>
        <w:spacing w:after="0"/>
      </w:pPr>
    </w:p>
    <w:p w14:paraId="6E841853" w14:textId="77777777" w:rsidR="006C4910" w:rsidRDefault="0065372D">
      <w:r>
        <w:t xml:space="preserve">Nastavljen je međunarodni projekt financiran u 2025. godini donacijom RBA banke Hrvatska, te su primljene donacije od Rotary i Rotaract klubova za uređenje stanova za organizirano stanovanje žrtava obiteljskog nasilja, te donacija V. gimnazije za nabavku </w:t>
      </w:r>
      <w:proofErr w:type="spellStart"/>
      <w:r>
        <w:t>potrebština</w:t>
      </w:r>
      <w:proofErr w:type="spellEnd"/>
      <w:r>
        <w:t xml:space="preserve"> za Dom.</w:t>
      </w:r>
    </w:p>
    <w:p w14:paraId="5CA6170C" w14:textId="77777777" w:rsidR="006C4910" w:rsidRDefault="006C4910"/>
    <w:p w14:paraId="6ACF11AE" w14:textId="77777777" w:rsidR="006C4910" w:rsidRDefault="0065372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50F24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E636C0"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CF2504"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CBC5F2"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75B74C"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05A50B"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966F1" w14:textId="77777777" w:rsidR="006C4910" w:rsidRDefault="0065372D">
            <w:pPr>
              <w:keepNext/>
              <w:keepLines/>
              <w:spacing w:after="0" w:line="240" w:lineRule="auto"/>
              <w:jc w:val="center"/>
            </w:pPr>
            <w:r>
              <w:rPr>
                <w:b/>
                <w:sz w:val="18"/>
              </w:rPr>
              <w:t>Indeks (%)</w:t>
            </w:r>
          </w:p>
        </w:tc>
      </w:tr>
      <w:tr w:rsidR="006C4910" w14:paraId="5E8B1DE6" w14:textId="77777777">
        <w:tblPrEx>
          <w:tblCellMar>
            <w:top w:w="0" w:type="dxa"/>
            <w:bottom w:w="0" w:type="dxa"/>
          </w:tblCellMar>
        </w:tblPrEx>
        <w:trPr>
          <w:cantSplit/>
          <w:trHeight w:val="560"/>
        </w:trPr>
        <w:tc>
          <w:tcPr>
            <w:tcW w:w="700" w:type="dxa"/>
            <w:tcMar>
              <w:top w:w="0" w:type="dxa"/>
              <w:bottom w:w="0" w:type="dxa"/>
            </w:tcMar>
            <w:vAlign w:val="center"/>
          </w:tcPr>
          <w:p w14:paraId="40F78954" w14:textId="77777777" w:rsidR="006C4910" w:rsidRDefault="0065372D">
            <w:pPr>
              <w:keepNext/>
              <w:keepLines/>
              <w:spacing w:after="0" w:line="240" w:lineRule="auto"/>
            </w:pPr>
            <w:r>
              <w:rPr>
                <w:sz w:val="18"/>
              </w:rPr>
              <w:t>6711</w:t>
            </w:r>
          </w:p>
        </w:tc>
        <w:tc>
          <w:tcPr>
            <w:tcW w:w="3180" w:type="dxa"/>
            <w:tcMar>
              <w:top w:w="0" w:type="dxa"/>
              <w:bottom w:w="0" w:type="dxa"/>
            </w:tcMar>
            <w:vAlign w:val="center"/>
          </w:tcPr>
          <w:p w14:paraId="735C4503" w14:textId="77777777" w:rsidR="006C4910" w:rsidRDefault="0065372D">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5D07AB4" w14:textId="77777777" w:rsidR="006C4910" w:rsidRDefault="0065372D">
            <w:pPr>
              <w:keepNext/>
              <w:keepLines/>
              <w:spacing w:after="0" w:line="240" w:lineRule="auto"/>
            </w:pPr>
            <w:r>
              <w:rPr>
                <w:sz w:val="18"/>
              </w:rPr>
              <w:t>6711</w:t>
            </w:r>
          </w:p>
        </w:tc>
        <w:tc>
          <w:tcPr>
            <w:tcW w:w="1860" w:type="dxa"/>
            <w:tcMar>
              <w:top w:w="0" w:type="dxa"/>
              <w:bottom w:w="0" w:type="dxa"/>
            </w:tcMar>
            <w:vAlign w:val="center"/>
          </w:tcPr>
          <w:p w14:paraId="1A00138D" w14:textId="77777777" w:rsidR="006C4910" w:rsidRDefault="0065372D">
            <w:pPr>
              <w:keepNext/>
              <w:keepLines/>
              <w:spacing w:after="0" w:line="240" w:lineRule="auto"/>
              <w:jc w:val="right"/>
            </w:pPr>
            <w:r>
              <w:rPr>
                <w:sz w:val="18"/>
              </w:rPr>
              <w:t>893.351,05</w:t>
            </w:r>
          </w:p>
        </w:tc>
        <w:tc>
          <w:tcPr>
            <w:tcW w:w="1860" w:type="dxa"/>
            <w:tcMar>
              <w:top w:w="0" w:type="dxa"/>
              <w:bottom w:w="0" w:type="dxa"/>
            </w:tcMar>
            <w:vAlign w:val="center"/>
          </w:tcPr>
          <w:p w14:paraId="0FFAB8A1" w14:textId="77777777" w:rsidR="006C4910" w:rsidRDefault="0065372D">
            <w:pPr>
              <w:keepNext/>
              <w:keepLines/>
              <w:spacing w:after="0" w:line="240" w:lineRule="auto"/>
              <w:jc w:val="right"/>
            </w:pPr>
            <w:r>
              <w:rPr>
                <w:sz w:val="18"/>
              </w:rPr>
              <w:t>993.488,16</w:t>
            </w:r>
          </w:p>
        </w:tc>
        <w:tc>
          <w:tcPr>
            <w:tcW w:w="700" w:type="dxa"/>
            <w:tcMar>
              <w:top w:w="0" w:type="dxa"/>
              <w:bottom w:w="0" w:type="dxa"/>
            </w:tcMar>
            <w:vAlign w:val="center"/>
          </w:tcPr>
          <w:p w14:paraId="2089B901" w14:textId="77777777" w:rsidR="006C4910" w:rsidRDefault="0065372D">
            <w:pPr>
              <w:keepNext/>
              <w:keepLines/>
              <w:spacing w:after="0" w:line="240" w:lineRule="auto"/>
              <w:jc w:val="right"/>
            </w:pPr>
            <w:r>
              <w:rPr>
                <w:sz w:val="18"/>
              </w:rPr>
              <w:t>111,2</w:t>
            </w:r>
          </w:p>
        </w:tc>
      </w:tr>
    </w:tbl>
    <w:p w14:paraId="1A06E5C9" w14:textId="77777777" w:rsidR="006C4910" w:rsidRDefault="006C4910">
      <w:pPr>
        <w:spacing w:after="0"/>
      </w:pPr>
    </w:p>
    <w:p w14:paraId="15AA12B5" w14:textId="77777777" w:rsidR="006C4910" w:rsidRDefault="0065372D">
      <w:proofErr w:type="spellStart"/>
      <w:r>
        <w:t>Potpisiavanjem</w:t>
      </w:r>
      <w:proofErr w:type="spellEnd"/>
      <w:r>
        <w:t xml:space="preserve"> novog kolektivnog ugovora za 2025. godinu povećane su plaće i ostala materijalna prava zaposlenih, stoga je iznos troška za zaposlene veći nego u prethodnoj godini.</w:t>
      </w:r>
    </w:p>
    <w:p w14:paraId="389C768E" w14:textId="77777777" w:rsidR="006C4910" w:rsidRDefault="006C4910"/>
    <w:p w14:paraId="657D0664" w14:textId="77777777" w:rsidR="006C4910" w:rsidRDefault="0065372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303596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6B1E3F"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740A4A"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B839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B3EF02"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E4C737"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BB5841" w14:textId="77777777" w:rsidR="006C4910" w:rsidRDefault="0065372D">
            <w:pPr>
              <w:keepNext/>
              <w:keepLines/>
              <w:spacing w:after="0" w:line="240" w:lineRule="auto"/>
              <w:jc w:val="center"/>
            </w:pPr>
            <w:r>
              <w:rPr>
                <w:b/>
                <w:sz w:val="18"/>
              </w:rPr>
              <w:t>Indeks (%)</w:t>
            </w:r>
          </w:p>
        </w:tc>
      </w:tr>
      <w:tr w:rsidR="006C4910" w14:paraId="7562F2E3" w14:textId="77777777">
        <w:tblPrEx>
          <w:tblCellMar>
            <w:top w:w="0" w:type="dxa"/>
            <w:bottom w:w="0" w:type="dxa"/>
          </w:tblCellMar>
        </w:tblPrEx>
        <w:trPr>
          <w:cantSplit/>
          <w:trHeight w:val="560"/>
        </w:trPr>
        <w:tc>
          <w:tcPr>
            <w:tcW w:w="700" w:type="dxa"/>
            <w:tcMar>
              <w:top w:w="0" w:type="dxa"/>
              <w:bottom w:w="0" w:type="dxa"/>
            </w:tcMar>
            <w:vAlign w:val="center"/>
          </w:tcPr>
          <w:p w14:paraId="12CFDB2D" w14:textId="77777777" w:rsidR="006C4910" w:rsidRDefault="0065372D">
            <w:pPr>
              <w:keepNext/>
              <w:keepLines/>
              <w:spacing w:after="0" w:line="240" w:lineRule="auto"/>
            </w:pPr>
            <w:r>
              <w:rPr>
                <w:sz w:val="18"/>
              </w:rPr>
              <w:t>6712</w:t>
            </w:r>
          </w:p>
        </w:tc>
        <w:tc>
          <w:tcPr>
            <w:tcW w:w="3180" w:type="dxa"/>
            <w:tcMar>
              <w:top w:w="0" w:type="dxa"/>
              <w:bottom w:w="0" w:type="dxa"/>
            </w:tcMar>
            <w:vAlign w:val="center"/>
          </w:tcPr>
          <w:p w14:paraId="4B180D1C" w14:textId="77777777" w:rsidR="006C4910" w:rsidRDefault="0065372D">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74BBDB1D" w14:textId="77777777" w:rsidR="006C4910" w:rsidRDefault="0065372D">
            <w:pPr>
              <w:keepNext/>
              <w:keepLines/>
              <w:spacing w:after="0" w:line="240" w:lineRule="auto"/>
            </w:pPr>
            <w:r>
              <w:rPr>
                <w:sz w:val="18"/>
              </w:rPr>
              <w:t>6712</w:t>
            </w:r>
          </w:p>
        </w:tc>
        <w:tc>
          <w:tcPr>
            <w:tcW w:w="1860" w:type="dxa"/>
            <w:tcMar>
              <w:top w:w="0" w:type="dxa"/>
              <w:bottom w:w="0" w:type="dxa"/>
            </w:tcMar>
            <w:vAlign w:val="center"/>
          </w:tcPr>
          <w:p w14:paraId="65D1CF9C" w14:textId="77777777" w:rsidR="006C4910" w:rsidRDefault="0065372D">
            <w:pPr>
              <w:keepNext/>
              <w:keepLines/>
              <w:spacing w:after="0" w:line="240" w:lineRule="auto"/>
              <w:jc w:val="right"/>
            </w:pPr>
            <w:r>
              <w:rPr>
                <w:sz w:val="18"/>
              </w:rPr>
              <w:t>33.117,75</w:t>
            </w:r>
          </w:p>
        </w:tc>
        <w:tc>
          <w:tcPr>
            <w:tcW w:w="1860" w:type="dxa"/>
            <w:tcMar>
              <w:top w:w="0" w:type="dxa"/>
              <w:bottom w:w="0" w:type="dxa"/>
            </w:tcMar>
            <w:vAlign w:val="center"/>
          </w:tcPr>
          <w:p w14:paraId="3D16790D" w14:textId="77777777" w:rsidR="006C4910" w:rsidRDefault="0065372D">
            <w:pPr>
              <w:keepNext/>
              <w:keepLines/>
              <w:spacing w:after="0" w:line="240" w:lineRule="auto"/>
              <w:jc w:val="right"/>
            </w:pPr>
            <w:r>
              <w:rPr>
                <w:sz w:val="18"/>
              </w:rPr>
              <w:t>26.300,00</w:t>
            </w:r>
          </w:p>
        </w:tc>
        <w:tc>
          <w:tcPr>
            <w:tcW w:w="700" w:type="dxa"/>
            <w:tcMar>
              <w:top w:w="0" w:type="dxa"/>
              <w:bottom w:w="0" w:type="dxa"/>
            </w:tcMar>
            <w:vAlign w:val="center"/>
          </w:tcPr>
          <w:p w14:paraId="222EB859" w14:textId="77777777" w:rsidR="006C4910" w:rsidRDefault="0065372D">
            <w:pPr>
              <w:keepNext/>
              <w:keepLines/>
              <w:spacing w:after="0" w:line="240" w:lineRule="auto"/>
              <w:jc w:val="right"/>
            </w:pPr>
            <w:r>
              <w:rPr>
                <w:sz w:val="18"/>
              </w:rPr>
              <w:t>79,4</w:t>
            </w:r>
          </w:p>
        </w:tc>
      </w:tr>
    </w:tbl>
    <w:p w14:paraId="700CF662" w14:textId="77777777" w:rsidR="006C4910" w:rsidRDefault="006C4910">
      <w:pPr>
        <w:spacing w:after="0"/>
      </w:pPr>
    </w:p>
    <w:p w14:paraId="3C54FA9F" w14:textId="77777777" w:rsidR="006C4910" w:rsidRDefault="0065372D">
      <w:r>
        <w:t>Nadležni proračun je u 2025. godini financirao nabavku programskog rješenja za vođenje baze podataka svih odjela u Ustanovi, te izradu internet stranice Doma.</w:t>
      </w:r>
    </w:p>
    <w:p w14:paraId="231F8AB1" w14:textId="77777777" w:rsidR="006C4910" w:rsidRDefault="006C4910"/>
    <w:p w14:paraId="0C18757B" w14:textId="77777777" w:rsidR="006C4910" w:rsidRDefault="0065372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225588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5FA69C"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87679D"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9EF408"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04DCCE"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979517"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3F6D6B" w14:textId="77777777" w:rsidR="006C4910" w:rsidRDefault="0065372D">
            <w:pPr>
              <w:keepNext/>
              <w:keepLines/>
              <w:spacing w:after="0" w:line="240" w:lineRule="auto"/>
              <w:jc w:val="center"/>
            </w:pPr>
            <w:r>
              <w:rPr>
                <w:b/>
                <w:sz w:val="18"/>
              </w:rPr>
              <w:t>Indeks (%)</w:t>
            </w:r>
          </w:p>
        </w:tc>
      </w:tr>
      <w:tr w:rsidR="006C4910" w14:paraId="5A685C8F" w14:textId="77777777">
        <w:tblPrEx>
          <w:tblCellMar>
            <w:top w:w="0" w:type="dxa"/>
            <w:bottom w:w="0" w:type="dxa"/>
          </w:tblCellMar>
        </w:tblPrEx>
        <w:trPr>
          <w:cantSplit/>
          <w:trHeight w:val="560"/>
        </w:trPr>
        <w:tc>
          <w:tcPr>
            <w:tcW w:w="700" w:type="dxa"/>
            <w:tcMar>
              <w:top w:w="0" w:type="dxa"/>
              <w:bottom w:w="0" w:type="dxa"/>
            </w:tcMar>
            <w:vAlign w:val="center"/>
          </w:tcPr>
          <w:p w14:paraId="466070CE" w14:textId="77777777" w:rsidR="006C4910" w:rsidRDefault="0065372D">
            <w:pPr>
              <w:keepNext/>
              <w:keepLines/>
              <w:spacing w:after="0" w:line="240" w:lineRule="auto"/>
            </w:pPr>
            <w:r>
              <w:rPr>
                <w:sz w:val="18"/>
              </w:rPr>
              <w:t>31</w:t>
            </w:r>
          </w:p>
        </w:tc>
        <w:tc>
          <w:tcPr>
            <w:tcW w:w="3180" w:type="dxa"/>
            <w:tcMar>
              <w:top w:w="0" w:type="dxa"/>
              <w:bottom w:w="0" w:type="dxa"/>
            </w:tcMar>
            <w:vAlign w:val="center"/>
          </w:tcPr>
          <w:p w14:paraId="7CD45E2E" w14:textId="77777777" w:rsidR="006C4910" w:rsidRDefault="0065372D">
            <w:pPr>
              <w:keepNext/>
              <w:keepLines/>
              <w:spacing w:after="0" w:line="240" w:lineRule="auto"/>
            </w:pPr>
            <w:r>
              <w:rPr>
                <w:sz w:val="18"/>
              </w:rPr>
              <w:t>Rashodi za zaposlene (šifre 311+312+313)</w:t>
            </w:r>
          </w:p>
        </w:tc>
        <w:tc>
          <w:tcPr>
            <w:tcW w:w="700" w:type="dxa"/>
            <w:tcMar>
              <w:top w:w="0" w:type="dxa"/>
              <w:bottom w:w="0" w:type="dxa"/>
            </w:tcMar>
            <w:vAlign w:val="center"/>
          </w:tcPr>
          <w:p w14:paraId="7A2E189F" w14:textId="77777777" w:rsidR="006C4910" w:rsidRDefault="0065372D">
            <w:pPr>
              <w:keepNext/>
              <w:keepLines/>
              <w:spacing w:after="0" w:line="240" w:lineRule="auto"/>
            </w:pPr>
            <w:r>
              <w:rPr>
                <w:sz w:val="18"/>
              </w:rPr>
              <w:t>31</w:t>
            </w:r>
          </w:p>
        </w:tc>
        <w:tc>
          <w:tcPr>
            <w:tcW w:w="1860" w:type="dxa"/>
            <w:tcMar>
              <w:top w:w="0" w:type="dxa"/>
              <w:bottom w:w="0" w:type="dxa"/>
            </w:tcMar>
            <w:vAlign w:val="center"/>
          </w:tcPr>
          <w:p w14:paraId="55738D29" w14:textId="77777777" w:rsidR="006C4910" w:rsidRDefault="0065372D">
            <w:pPr>
              <w:keepNext/>
              <w:keepLines/>
              <w:spacing w:after="0" w:line="240" w:lineRule="auto"/>
              <w:jc w:val="right"/>
            </w:pPr>
            <w:r>
              <w:rPr>
                <w:sz w:val="18"/>
              </w:rPr>
              <w:t>571.565,97</w:t>
            </w:r>
          </w:p>
        </w:tc>
        <w:tc>
          <w:tcPr>
            <w:tcW w:w="1860" w:type="dxa"/>
            <w:tcMar>
              <w:top w:w="0" w:type="dxa"/>
              <w:bottom w:w="0" w:type="dxa"/>
            </w:tcMar>
            <w:vAlign w:val="center"/>
          </w:tcPr>
          <w:p w14:paraId="4CFB5268" w14:textId="77777777" w:rsidR="006C4910" w:rsidRDefault="0065372D">
            <w:pPr>
              <w:keepNext/>
              <w:keepLines/>
              <w:spacing w:after="0" w:line="240" w:lineRule="auto"/>
              <w:jc w:val="right"/>
            </w:pPr>
            <w:r>
              <w:rPr>
                <w:sz w:val="18"/>
              </w:rPr>
              <w:t>608.515,58</w:t>
            </w:r>
          </w:p>
        </w:tc>
        <w:tc>
          <w:tcPr>
            <w:tcW w:w="700" w:type="dxa"/>
            <w:tcMar>
              <w:top w:w="0" w:type="dxa"/>
              <w:bottom w:w="0" w:type="dxa"/>
            </w:tcMar>
            <w:vAlign w:val="center"/>
          </w:tcPr>
          <w:p w14:paraId="60954AED" w14:textId="77777777" w:rsidR="006C4910" w:rsidRDefault="0065372D">
            <w:pPr>
              <w:keepNext/>
              <w:keepLines/>
              <w:spacing w:after="0" w:line="240" w:lineRule="auto"/>
              <w:jc w:val="right"/>
            </w:pPr>
            <w:r>
              <w:rPr>
                <w:sz w:val="18"/>
              </w:rPr>
              <w:t>106,5</w:t>
            </w:r>
          </w:p>
        </w:tc>
      </w:tr>
    </w:tbl>
    <w:p w14:paraId="70B3BA74" w14:textId="77777777" w:rsidR="006C4910" w:rsidRDefault="006C4910">
      <w:pPr>
        <w:spacing w:after="0"/>
      </w:pPr>
    </w:p>
    <w:p w14:paraId="3A04F28C" w14:textId="77777777" w:rsidR="006C4910" w:rsidRDefault="0065372D">
      <w:proofErr w:type="spellStart"/>
      <w:r>
        <w:lastRenderedPageBreak/>
        <w:t>Potpisiavanjem</w:t>
      </w:r>
      <w:proofErr w:type="spellEnd"/>
      <w:r>
        <w:t xml:space="preserve"> novog kolektivnog ugovora za 2025. godinu povećane su plaće i ostala materijalna prava zaposlenih, stoga je iznos troška za zaposlene veći nego u prethodnoj godini.</w:t>
      </w:r>
    </w:p>
    <w:p w14:paraId="6AD9A8D1" w14:textId="77777777" w:rsidR="006C4910" w:rsidRDefault="006C4910"/>
    <w:p w14:paraId="3B2E5077" w14:textId="77777777" w:rsidR="006C4910" w:rsidRDefault="0065372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0C92CD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D1A67D"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ED11A1"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A3005"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A10430"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2A6D25"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A9F7C3" w14:textId="77777777" w:rsidR="006C4910" w:rsidRDefault="0065372D">
            <w:pPr>
              <w:keepNext/>
              <w:keepLines/>
              <w:spacing w:after="0" w:line="240" w:lineRule="auto"/>
              <w:jc w:val="center"/>
            </w:pPr>
            <w:r>
              <w:rPr>
                <w:b/>
                <w:sz w:val="18"/>
              </w:rPr>
              <w:t>Indeks (%)</w:t>
            </w:r>
          </w:p>
        </w:tc>
      </w:tr>
      <w:tr w:rsidR="006C4910" w14:paraId="15E37EF2" w14:textId="77777777">
        <w:tblPrEx>
          <w:tblCellMar>
            <w:top w:w="0" w:type="dxa"/>
            <w:bottom w:w="0" w:type="dxa"/>
          </w:tblCellMar>
        </w:tblPrEx>
        <w:trPr>
          <w:cantSplit/>
          <w:trHeight w:val="560"/>
        </w:trPr>
        <w:tc>
          <w:tcPr>
            <w:tcW w:w="700" w:type="dxa"/>
            <w:tcMar>
              <w:top w:w="0" w:type="dxa"/>
              <w:bottom w:w="0" w:type="dxa"/>
            </w:tcMar>
            <w:vAlign w:val="center"/>
          </w:tcPr>
          <w:p w14:paraId="76D25EEA" w14:textId="77777777" w:rsidR="006C4910" w:rsidRDefault="0065372D">
            <w:pPr>
              <w:keepNext/>
              <w:keepLines/>
              <w:spacing w:after="0" w:line="240" w:lineRule="auto"/>
            </w:pPr>
            <w:r>
              <w:rPr>
                <w:sz w:val="18"/>
              </w:rPr>
              <w:t>312</w:t>
            </w:r>
          </w:p>
        </w:tc>
        <w:tc>
          <w:tcPr>
            <w:tcW w:w="3180" w:type="dxa"/>
            <w:tcMar>
              <w:top w:w="0" w:type="dxa"/>
              <w:bottom w:w="0" w:type="dxa"/>
            </w:tcMar>
            <w:vAlign w:val="center"/>
          </w:tcPr>
          <w:p w14:paraId="7F90315D" w14:textId="77777777" w:rsidR="006C4910" w:rsidRDefault="0065372D">
            <w:pPr>
              <w:keepNext/>
              <w:keepLines/>
              <w:spacing w:after="0" w:line="240" w:lineRule="auto"/>
            </w:pPr>
            <w:r>
              <w:rPr>
                <w:sz w:val="18"/>
              </w:rPr>
              <w:t>Ostali rashodi za zaposlene</w:t>
            </w:r>
          </w:p>
        </w:tc>
        <w:tc>
          <w:tcPr>
            <w:tcW w:w="700" w:type="dxa"/>
            <w:tcMar>
              <w:top w:w="0" w:type="dxa"/>
              <w:bottom w:w="0" w:type="dxa"/>
            </w:tcMar>
            <w:vAlign w:val="center"/>
          </w:tcPr>
          <w:p w14:paraId="59C2AE73" w14:textId="77777777" w:rsidR="006C4910" w:rsidRDefault="0065372D">
            <w:pPr>
              <w:keepNext/>
              <w:keepLines/>
              <w:spacing w:after="0" w:line="240" w:lineRule="auto"/>
            </w:pPr>
            <w:r>
              <w:rPr>
                <w:sz w:val="18"/>
              </w:rPr>
              <w:t>312</w:t>
            </w:r>
          </w:p>
        </w:tc>
        <w:tc>
          <w:tcPr>
            <w:tcW w:w="1860" w:type="dxa"/>
            <w:tcMar>
              <w:top w:w="0" w:type="dxa"/>
              <w:bottom w:w="0" w:type="dxa"/>
            </w:tcMar>
            <w:vAlign w:val="center"/>
          </w:tcPr>
          <w:p w14:paraId="1CAB60C0" w14:textId="77777777" w:rsidR="006C4910" w:rsidRDefault="0065372D">
            <w:pPr>
              <w:keepNext/>
              <w:keepLines/>
              <w:spacing w:after="0" w:line="240" w:lineRule="auto"/>
              <w:jc w:val="right"/>
            </w:pPr>
            <w:r>
              <w:rPr>
                <w:sz w:val="18"/>
              </w:rPr>
              <w:t>28.230,55</w:t>
            </w:r>
          </w:p>
        </w:tc>
        <w:tc>
          <w:tcPr>
            <w:tcW w:w="1860" w:type="dxa"/>
            <w:tcMar>
              <w:top w:w="0" w:type="dxa"/>
              <w:bottom w:w="0" w:type="dxa"/>
            </w:tcMar>
            <w:vAlign w:val="center"/>
          </w:tcPr>
          <w:p w14:paraId="75AB5999" w14:textId="77777777" w:rsidR="006C4910" w:rsidRDefault="0065372D">
            <w:pPr>
              <w:keepNext/>
              <w:keepLines/>
              <w:spacing w:after="0" w:line="240" w:lineRule="auto"/>
              <w:jc w:val="right"/>
            </w:pPr>
            <w:r>
              <w:rPr>
                <w:sz w:val="18"/>
              </w:rPr>
              <w:t>36.260,26</w:t>
            </w:r>
          </w:p>
        </w:tc>
        <w:tc>
          <w:tcPr>
            <w:tcW w:w="700" w:type="dxa"/>
            <w:tcMar>
              <w:top w:w="0" w:type="dxa"/>
              <w:bottom w:w="0" w:type="dxa"/>
            </w:tcMar>
            <w:vAlign w:val="center"/>
          </w:tcPr>
          <w:p w14:paraId="49993718" w14:textId="77777777" w:rsidR="006C4910" w:rsidRDefault="0065372D">
            <w:pPr>
              <w:keepNext/>
              <w:keepLines/>
              <w:spacing w:after="0" w:line="240" w:lineRule="auto"/>
              <w:jc w:val="right"/>
            </w:pPr>
            <w:r>
              <w:rPr>
                <w:sz w:val="18"/>
              </w:rPr>
              <w:t>128,4</w:t>
            </w:r>
          </w:p>
        </w:tc>
      </w:tr>
    </w:tbl>
    <w:p w14:paraId="5389BA9E" w14:textId="77777777" w:rsidR="006C4910" w:rsidRDefault="006C4910">
      <w:pPr>
        <w:spacing w:after="0"/>
      </w:pPr>
    </w:p>
    <w:p w14:paraId="65C91BC8" w14:textId="77777777" w:rsidR="006C4910" w:rsidRDefault="0065372D">
      <w:r>
        <w:t>Zbog isplate otpremnine kolegici koja je otišla u mirovinu povećani su troškovi u odnosu na prethodnu godinu. Ujedno su ostali rashodi za zaposlene povećani zbog povećanih materijalnih prava  zaposlenih kroz novi kolektivni ugovor.</w:t>
      </w:r>
    </w:p>
    <w:p w14:paraId="6F3BC66F" w14:textId="77777777" w:rsidR="006C4910" w:rsidRDefault="006C4910"/>
    <w:p w14:paraId="6338770D" w14:textId="77777777" w:rsidR="006C4910" w:rsidRDefault="0065372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4BA82E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3C08C4"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28EEEB"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626B2F"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B6E4AA"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6EF83F"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363BFD" w14:textId="77777777" w:rsidR="006C4910" w:rsidRDefault="0065372D">
            <w:pPr>
              <w:keepNext/>
              <w:keepLines/>
              <w:spacing w:after="0" w:line="240" w:lineRule="auto"/>
              <w:jc w:val="center"/>
            </w:pPr>
            <w:r>
              <w:rPr>
                <w:b/>
                <w:sz w:val="18"/>
              </w:rPr>
              <w:t>Indeks (%)</w:t>
            </w:r>
          </w:p>
        </w:tc>
      </w:tr>
      <w:tr w:rsidR="006C4910" w14:paraId="6899B5EC" w14:textId="77777777">
        <w:tblPrEx>
          <w:tblCellMar>
            <w:top w:w="0" w:type="dxa"/>
            <w:bottom w:w="0" w:type="dxa"/>
          </w:tblCellMar>
        </w:tblPrEx>
        <w:trPr>
          <w:cantSplit/>
          <w:trHeight w:val="560"/>
        </w:trPr>
        <w:tc>
          <w:tcPr>
            <w:tcW w:w="700" w:type="dxa"/>
            <w:tcMar>
              <w:top w:w="0" w:type="dxa"/>
              <w:bottom w:w="0" w:type="dxa"/>
            </w:tcMar>
            <w:vAlign w:val="center"/>
          </w:tcPr>
          <w:p w14:paraId="0DFD8972" w14:textId="77777777" w:rsidR="006C4910" w:rsidRDefault="0065372D">
            <w:pPr>
              <w:keepNext/>
              <w:keepLines/>
              <w:spacing w:after="0" w:line="240" w:lineRule="auto"/>
            </w:pPr>
            <w:r>
              <w:rPr>
                <w:sz w:val="18"/>
              </w:rPr>
              <w:t>3224</w:t>
            </w:r>
          </w:p>
        </w:tc>
        <w:tc>
          <w:tcPr>
            <w:tcW w:w="3180" w:type="dxa"/>
            <w:tcMar>
              <w:top w:w="0" w:type="dxa"/>
              <w:bottom w:w="0" w:type="dxa"/>
            </w:tcMar>
            <w:vAlign w:val="center"/>
          </w:tcPr>
          <w:p w14:paraId="528E8067" w14:textId="77777777" w:rsidR="006C4910" w:rsidRDefault="0065372D">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FE0CCC7" w14:textId="77777777" w:rsidR="006C4910" w:rsidRDefault="0065372D">
            <w:pPr>
              <w:keepNext/>
              <w:keepLines/>
              <w:spacing w:after="0" w:line="240" w:lineRule="auto"/>
            </w:pPr>
            <w:r>
              <w:rPr>
                <w:sz w:val="18"/>
              </w:rPr>
              <w:t>3224</w:t>
            </w:r>
          </w:p>
        </w:tc>
        <w:tc>
          <w:tcPr>
            <w:tcW w:w="1860" w:type="dxa"/>
            <w:tcMar>
              <w:top w:w="0" w:type="dxa"/>
              <w:bottom w:w="0" w:type="dxa"/>
            </w:tcMar>
            <w:vAlign w:val="center"/>
          </w:tcPr>
          <w:p w14:paraId="2E1CD492" w14:textId="77777777" w:rsidR="006C4910" w:rsidRDefault="0065372D">
            <w:pPr>
              <w:keepNext/>
              <w:keepLines/>
              <w:spacing w:after="0" w:line="240" w:lineRule="auto"/>
              <w:jc w:val="right"/>
            </w:pPr>
            <w:r>
              <w:rPr>
                <w:sz w:val="18"/>
              </w:rPr>
              <w:t>5.057,59</w:t>
            </w:r>
          </w:p>
        </w:tc>
        <w:tc>
          <w:tcPr>
            <w:tcW w:w="1860" w:type="dxa"/>
            <w:tcMar>
              <w:top w:w="0" w:type="dxa"/>
              <w:bottom w:w="0" w:type="dxa"/>
            </w:tcMar>
            <w:vAlign w:val="center"/>
          </w:tcPr>
          <w:p w14:paraId="2313BC8F" w14:textId="77777777" w:rsidR="006C4910" w:rsidRDefault="0065372D">
            <w:pPr>
              <w:keepNext/>
              <w:keepLines/>
              <w:spacing w:after="0" w:line="240" w:lineRule="auto"/>
              <w:jc w:val="right"/>
            </w:pPr>
            <w:r>
              <w:rPr>
                <w:sz w:val="18"/>
              </w:rPr>
              <w:t>3.284,95</w:t>
            </w:r>
          </w:p>
        </w:tc>
        <w:tc>
          <w:tcPr>
            <w:tcW w:w="700" w:type="dxa"/>
            <w:tcMar>
              <w:top w:w="0" w:type="dxa"/>
              <w:bottom w:w="0" w:type="dxa"/>
            </w:tcMar>
            <w:vAlign w:val="center"/>
          </w:tcPr>
          <w:p w14:paraId="4735736B" w14:textId="77777777" w:rsidR="006C4910" w:rsidRDefault="0065372D">
            <w:pPr>
              <w:keepNext/>
              <w:keepLines/>
              <w:spacing w:after="0" w:line="240" w:lineRule="auto"/>
              <w:jc w:val="right"/>
            </w:pPr>
            <w:r>
              <w:rPr>
                <w:sz w:val="18"/>
              </w:rPr>
              <w:t>65,0</w:t>
            </w:r>
          </w:p>
        </w:tc>
      </w:tr>
    </w:tbl>
    <w:p w14:paraId="6BE507B5" w14:textId="77777777" w:rsidR="006C4910" w:rsidRDefault="006C4910">
      <w:pPr>
        <w:spacing w:after="0"/>
      </w:pPr>
    </w:p>
    <w:p w14:paraId="4C6596F3" w14:textId="77777777" w:rsidR="006C4910" w:rsidRDefault="0065372D">
      <w:r>
        <w:t xml:space="preserve">U 2025. godini nije bilo potreba za dodatnim materijalima i </w:t>
      </w:r>
      <w:proofErr w:type="spellStart"/>
      <w:r>
        <w:t>djelovima</w:t>
      </w:r>
      <w:proofErr w:type="spellEnd"/>
      <w:r>
        <w:t xml:space="preserve"> za tekuće i investicijsko održavanje jer su završni radovi na stanovima obavljeni kroz usluge investicijskog održavanja.</w:t>
      </w:r>
    </w:p>
    <w:p w14:paraId="705CCD34" w14:textId="77777777" w:rsidR="006C4910" w:rsidRDefault="006C4910"/>
    <w:p w14:paraId="3339376E" w14:textId="77777777" w:rsidR="006C4910" w:rsidRDefault="0065372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09E8FC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105466"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8293F0"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2319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50156"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7122C6"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4FF14E" w14:textId="77777777" w:rsidR="006C4910" w:rsidRDefault="0065372D">
            <w:pPr>
              <w:keepNext/>
              <w:keepLines/>
              <w:spacing w:after="0" w:line="240" w:lineRule="auto"/>
              <w:jc w:val="center"/>
            </w:pPr>
            <w:r>
              <w:rPr>
                <w:b/>
                <w:sz w:val="18"/>
              </w:rPr>
              <w:t>Indeks (%)</w:t>
            </w:r>
          </w:p>
        </w:tc>
      </w:tr>
      <w:tr w:rsidR="006C4910" w14:paraId="46241157" w14:textId="77777777">
        <w:tblPrEx>
          <w:tblCellMar>
            <w:top w:w="0" w:type="dxa"/>
            <w:bottom w:w="0" w:type="dxa"/>
          </w:tblCellMar>
        </w:tblPrEx>
        <w:trPr>
          <w:cantSplit/>
          <w:trHeight w:val="560"/>
        </w:trPr>
        <w:tc>
          <w:tcPr>
            <w:tcW w:w="700" w:type="dxa"/>
            <w:tcMar>
              <w:top w:w="0" w:type="dxa"/>
              <w:bottom w:w="0" w:type="dxa"/>
            </w:tcMar>
            <w:vAlign w:val="center"/>
          </w:tcPr>
          <w:p w14:paraId="4A1A59D6" w14:textId="77777777" w:rsidR="006C4910" w:rsidRDefault="0065372D">
            <w:pPr>
              <w:keepNext/>
              <w:keepLines/>
              <w:spacing w:after="0" w:line="240" w:lineRule="auto"/>
            </w:pPr>
            <w:r>
              <w:rPr>
                <w:sz w:val="18"/>
              </w:rPr>
              <w:t>3225</w:t>
            </w:r>
          </w:p>
        </w:tc>
        <w:tc>
          <w:tcPr>
            <w:tcW w:w="3180" w:type="dxa"/>
            <w:tcMar>
              <w:top w:w="0" w:type="dxa"/>
              <w:bottom w:w="0" w:type="dxa"/>
            </w:tcMar>
            <w:vAlign w:val="center"/>
          </w:tcPr>
          <w:p w14:paraId="6FF53BC8" w14:textId="77777777" w:rsidR="006C4910" w:rsidRDefault="0065372D">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2E036E14" w14:textId="77777777" w:rsidR="006C4910" w:rsidRDefault="0065372D">
            <w:pPr>
              <w:keepNext/>
              <w:keepLines/>
              <w:spacing w:after="0" w:line="240" w:lineRule="auto"/>
            </w:pPr>
            <w:r>
              <w:rPr>
                <w:sz w:val="18"/>
              </w:rPr>
              <w:t>3225</w:t>
            </w:r>
          </w:p>
        </w:tc>
        <w:tc>
          <w:tcPr>
            <w:tcW w:w="1860" w:type="dxa"/>
            <w:tcMar>
              <w:top w:w="0" w:type="dxa"/>
              <w:bottom w:w="0" w:type="dxa"/>
            </w:tcMar>
            <w:vAlign w:val="center"/>
          </w:tcPr>
          <w:p w14:paraId="54A2CA02" w14:textId="77777777" w:rsidR="006C4910" w:rsidRDefault="0065372D">
            <w:pPr>
              <w:keepNext/>
              <w:keepLines/>
              <w:spacing w:after="0" w:line="240" w:lineRule="auto"/>
              <w:jc w:val="right"/>
            </w:pPr>
            <w:r>
              <w:rPr>
                <w:sz w:val="18"/>
              </w:rPr>
              <w:t>1.284,75</w:t>
            </w:r>
          </w:p>
        </w:tc>
        <w:tc>
          <w:tcPr>
            <w:tcW w:w="1860" w:type="dxa"/>
            <w:tcMar>
              <w:top w:w="0" w:type="dxa"/>
              <w:bottom w:w="0" w:type="dxa"/>
            </w:tcMar>
            <w:vAlign w:val="center"/>
          </w:tcPr>
          <w:p w14:paraId="042C9947" w14:textId="77777777" w:rsidR="006C4910" w:rsidRDefault="0065372D">
            <w:pPr>
              <w:keepNext/>
              <w:keepLines/>
              <w:spacing w:after="0" w:line="240" w:lineRule="auto"/>
              <w:jc w:val="right"/>
            </w:pPr>
            <w:r>
              <w:rPr>
                <w:sz w:val="18"/>
              </w:rPr>
              <w:t>3.718,10</w:t>
            </w:r>
          </w:p>
        </w:tc>
        <w:tc>
          <w:tcPr>
            <w:tcW w:w="700" w:type="dxa"/>
            <w:tcMar>
              <w:top w:w="0" w:type="dxa"/>
              <w:bottom w:w="0" w:type="dxa"/>
            </w:tcMar>
            <w:vAlign w:val="center"/>
          </w:tcPr>
          <w:p w14:paraId="3E00F782" w14:textId="77777777" w:rsidR="006C4910" w:rsidRDefault="0065372D">
            <w:pPr>
              <w:keepNext/>
              <w:keepLines/>
              <w:spacing w:after="0" w:line="240" w:lineRule="auto"/>
              <w:jc w:val="right"/>
            </w:pPr>
            <w:r>
              <w:rPr>
                <w:sz w:val="18"/>
              </w:rPr>
              <w:t>289,4</w:t>
            </w:r>
          </w:p>
        </w:tc>
      </w:tr>
    </w:tbl>
    <w:p w14:paraId="70BA0BA5" w14:textId="77777777" w:rsidR="006C4910" w:rsidRDefault="006C4910">
      <w:pPr>
        <w:spacing w:after="0"/>
      </w:pPr>
    </w:p>
    <w:p w14:paraId="2C5DBF5D" w14:textId="77777777" w:rsidR="006C4910" w:rsidRDefault="0065372D">
      <w:r>
        <w:t>U 2025. godini su opremljeni stanovi za organizirano stanovanje za što su kupljeni sitni kućanski uređaji i ostala oprema male vrijednosti koja je financirana većim dijelom iz donacija.</w:t>
      </w:r>
    </w:p>
    <w:p w14:paraId="23832788" w14:textId="77777777" w:rsidR="006C4910" w:rsidRDefault="006C4910"/>
    <w:p w14:paraId="79905096" w14:textId="77777777" w:rsidR="006C4910" w:rsidRDefault="0065372D">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248A0D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7095EF"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34CD02"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9C81B"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6E6962"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CDA992"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EF1F21" w14:textId="77777777" w:rsidR="006C4910" w:rsidRDefault="0065372D">
            <w:pPr>
              <w:keepNext/>
              <w:keepLines/>
              <w:spacing w:after="0" w:line="240" w:lineRule="auto"/>
              <w:jc w:val="center"/>
            </w:pPr>
            <w:r>
              <w:rPr>
                <w:b/>
                <w:sz w:val="18"/>
              </w:rPr>
              <w:t>Indeks (%)</w:t>
            </w:r>
          </w:p>
        </w:tc>
      </w:tr>
      <w:tr w:rsidR="006C4910" w14:paraId="6BEBAEF3" w14:textId="77777777">
        <w:tblPrEx>
          <w:tblCellMar>
            <w:top w:w="0" w:type="dxa"/>
            <w:bottom w:w="0" w:type="dxa"/>
          </w:tblCellMar>
        </w:tblPrEx>
        <w:trPr>
          <w:cantSplit/>
          <w:trHeight w:val="560"/>
        </w:trPr>
        <w:tc>
          <w:tcPr>
            <w:tcW w:w="700" w:type="dxa"/>
            <w:tcMar>
              <w:top w:w="0" w:type="dxa"/>
              <w:bottom w:w="0" w:type="dxa"/>
            </w:tcMar>
            <w:vAlign w:val="center"/>
          </w:tcPr>
          <w:p w14:paraId="5F3C8EA0" w14:textId="77777777" w:rsidR="006C4910" w:rsidRDefault="0065372D">
            <w:pPr>
              <w:keepNext/>
              <w:keepLines/>
              <w:spacing w:after="0" w:line="240" w:lineRule="auto"/>
            </w:pPr>
            <w:r>
              <w:rPr>
                <w:sz w:val="18"/>
              </w:rPr>
              <w:t>3232</w:t>
            </w:r>
          </w:p>
        </w:tc>
        <w:tc>
          <w:tcPr>
            <w:tcW w:w="3180" w:type="dxa"/>
            <w:tcMar>
              <w:top w:w="0" w:type="dxa"/>
              <w:bottom w:w="0" w:type="dxa"/>
            </w:tcMar>
            <w:vAlign w:val="center"/>
          </w:tcPr>
          <w:p w14:paraId="313880F8" w14:textId="77777777" w:rsidR="006C4910" w:rsidRDefault="0065372D">
            <w:pPr>
              <w:keepNext/>
              <w:keepLines/>
              <w:spacing w:after="0" w:line="240" w:lineRule="auto"/>
            </w:pPr>
            <w:r>
              <w:rPr>
                <w:sz w:val="18"/>
              </w:rPr>
              <w:t>Usluge tekućeg i investicijskog održavanja</w:t>
            </w:r>
          </w:p>
        </w:tc>
        <w:tc>
          <w:tcPr>
            <w:tcW w:w="700" w:type="dxa"/>
            <w:tcMar>
              <w:top w:w="0" w:type="dxa"/>
              <w:bottom w:w="0" w:type="dxa"/>
            </w:tcMar>
            <w:vAlign w:val="center"/>
          </w:tcPr>
          <w:p w14:paraId="5FB872B3" w14:textId="77777777" w:rsidR="006C4910" w:rsidRDefault="0065372D">
            <w:pPr>
              <w:keepNext/>
              <w:keepLines/>
              <w:spacing w:after="0" w:line="240" w:lineRule="auto"/>
            </w:pPr>
            <w:r>
              <w:rPr>
                <w:sz w:val="18"/>
              </w:rPr>
              <w:t>3232</w:t>
            </w:r>
          </w:p>
        </w:tc>
        <w:tc>
          <w:tcPr>
            <w:tcW w:w="1860" w:type="dxa"/>
            <w:tcMar>
              <w:top w:w="0" w:type="dxa"/>
              <w:bottom w:w="0" w:type="dxa"/>
            </w:tcMar>
            <w:vAlign w:val="center"/>
          </w:tcPr>
          <w:p w14:paraId="4215173E" w14:textId="77777777" w:rsidR="006C4910" w:rsidRDefault="0065372D">
            <w:pPr>
              <w:keepNext/>
              <w:keepLines/>
              <w:spacing w:after="0" w:line="240" w:lineRule="auto"/>
              <w:jc w:val="right"/>
            </w:pPr>
            <w:r>
              <w:rPr>
                <w:sz w:val="18"/>
              </w:rPr>
              <w:t>16.787,63</w:t>
            </w:r>
          </w:p>
        </w:tc>
        <w:tc>
          <w:tcPr>
            <w:tcW w:w="1860" w:type="dxa"/>
            <w:tcMar>
              <w:top w:w="0" w:type="dxa"/>
              <w:bottom w:w="0" w:type="dxa"/>
            </w:tcMar>
            <w:vAlign w:val="center"/>
          </w:tcPr>
          <w:p w14:paraId="3E2973AD" w14:textId="77777777" w:rsidR="006C4910" w:rsidRDefault="0065372D">
            <w:pPr>
              <w:keepNext/>
              <w:keepLines/>
              <w:spacing w:after="0" w:line="240" w:lineRule="auto"/>
              <w:jc w:val="right"/>
            </w:pPr>
            <w:r>
              <w:rPr>
                <w:sz w:val="18"/>
              </w:rPr>
              <w:t>24.776,36</w:t>
            </w:r>
          </w:p>
        </w:tc>
        <w:tc>
          <w:tcPr>
            <w:tcW w:w="700" w:type="dxa"/>
            <w:tcMar>
              <w:top w:w="0" w:type="dxa"/>
              <w:bottom w:w="0" w:type="dxa"/>
            </w:tcMar>
            <w:vAlign w:val="center"/>
          </w:tcPr>
          <w:p w14:paraId="574778A1" w14:textId="77777777" w:rsidR="006C4910" w:rsidRDefault="0065372D">
            <w:pPr>
              <w:keepNext/>
              <w:keepLines/>
              <w:spacing w:after="0" w:line="240" w:lineRule="auto"/>
              <w:jc w:val="right"/>
            </w:pPr>
            <w:r>
              <w:rPr>
                <w:sz w:val="18"/>
              </w:rPr>
              <w:t>147,6</w:t>
            </w:r>
          </w:p>
        </w:tc>
      </w:tr>
    </w:tbl>
    <w:p w14:paraId="4BA380C9" w14:textId="77777777" w:rsidR="006C4910" w:rsidRDefault="006C4910">
      <w:pPr>
        <w:spacing w:after="0"/>
      </w:pPr>
    </w:p>
    <w:p w14:paraId="5A90770F" w14:textId="77777777" w:rsidR="006C4910" w:rsidRDefault="0065372D">
      <w:r>
        <w:t>Rashodi za usluge su povećani zbog troškova investicijskog održavanja jer su u prvoj polovini ove godine stanovi u vlasništvu Grada Zagreba prilagođeni za prijem žrtava obiteljskog nasilja. Oprema nakon investicijskih radova je osigurana kroz donacije. Također je iz sredstava održavanja obnovljen lift u Domu, te otklonjeni kvarovi na ostaloj opremi koji su nastali zbog zastarjelosti.</w:t>
      </w:r>
    </w:p>
    <w:p w14:paraId="733464B2" w14:textId="77777777" w:rsidR="006C4910" w:rsidRDefault="006C4910"/>
    <w:p w14:paraId="3C07F03C" w14:textId="77777777" w:rsidR="006C4910" w:rsidRDefault="0065372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BE940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97F31C"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62D53"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58CCF"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C7E239"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3E9CD2"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12DE5B" w14:textId="77777777" w:rsidR="006C4910" w:rsidRDefault="0065372D">
            <w:pPr>
              <w:keepNext/>
              <w:keepLines/>
              <w:spacing w:after="0" w:line="240" w:lineRule="auto"/>
              <w:jc w:val="center"/>
            </w:pPr>
            <w:r>
              <w:rPr>
                <w:b/>
                <w:sz w:val="18"/>
              </w:rPr>
              <w:t>Indeks (%)</w:t>
            </w:r>
          </w:p>
        </w:tc>
      </w:tr>
      <w:tr w:rsidR="006C4910" w14:paraId="552D3885" w14:textId="77777777">
        <w:tblPrEx>
          <w:tblCellMar>
            <w:top w:w="0" w:type="dxa"/>
            <w:bottom w:w="0" w:type="dxa"/>
          </w:tblCellMar>
        </w:tblPrEx>
        <w:trPr>
          <w:cantSplit/>
          <w:trHeight w:val="560"/>
        </w:trPr>
        <w:tc>
          <w:tcPr>
            <w:tcW w:w="700" w:type="dxa"/>
            <w:tcMar>
              <w:top w:w="0" w:type="dxa"/>
              <w:bottom w:w="0" w:type="dxa"/>
            </w:tcMar>
            <w:vAlign w:val="center"/>
          </w:tcPr>
          <w:p w14:paraId="3E5C104B" w14:textId="77777777" w:rsidR="006C4910" w:rsidRDefault="0065372D">
            <w:pPr>
              <w:keepNext/>
              <w:keepLines/>
              <w:spacing w:after="0" w:line="240" w:lineRule="auto"/>
            </w:pPr>
            <w:r>
              <w:rPr>
                <w:sz w:val="18"/>
              </w:rPr>
              <w:t>3233</w:t>
            </w:r>
          </w:p>
        </w:tc>
        <w:tc>
          <w:tcPr>
            <w:tcW w:w="3180" w:type="dxa"/>
            <w:tcMar>
              <w:top w:w="0" w:type="dxa"/>
              <w:bottom w:w="0" w:type="dxa"/>
            </w:tcMar>
            <w:vAlign w:val="center"/>
          </w:tcPr>
          <w:p w14:paraId="6CE9E416" w14:textId="77777777" w:rsidR="006C4910" w:rsidRDefault="0065372D">
            <w:pPr>
              <w:keepNext/>
              <w:keepLines/>
              <w:spacing w:after="0" w:line="240" w:lineRule="auto"/>
            </w:pPr>
            <w:r>
              <w:rPr>
                <w:sz w:val="18"/>
              </w:rPr>
              <w:t>Usluge promidžbe i informiranja</w:t>
            </w:r>
          </w:p>
        </w:tc>
        <w:tc>
          <w:tcPr>
            <w:tcW w:w="700" w:type="dxa"/>
            <w:tcMar>
              <w:top w:w="0" w:type="dxa"/>
              <w:bottom w:w="0" w:type="dxa"/>
            </w:tcMar>
            <w:vAlign w:val="center"/>
          </w:tcPr>
          <w:p w14:paraId="63E00DD6" w14:textId="77777777" w:rsidR="006C4910" w:rsidRDefault="0065372D">
            <w:pPr>
              <w:keepNext/>
              <w:keepLines/>
              <w:spacing w:after="0" w:line="240" w:lineRule="auto"/>
            </w:pPr>
            <w:r>
              <w:rPr>
                <w:sz w:val="18"/>
              </w:rPr>
              <w:t>3233</w:t>
            </w:r>
          </w:p>
        </w:tc>
        <w:tc>
          <w:tcPr>
            <w:tcW w:w="1860" w:type="dxa"/>
            <w:tcMar>
              <w:top w:w="0" w:type="dxa"/>
              <w:bottom w:w="0" w:type="dxa"/>
            </w:tcMar>
            <w:vAlign w:val="center"/>
          </w:tcPr>
          <w:p w14:paraId="257FAFAC" w14:textId="77777777" w:rsidR="006C4910" w:rsidRDefault="0065372D">
            <w:pPr>
              <w:keepNext/>
              <w:keepLines/>
              <w:spacing w:after="0" w:line="240" w:lineRule="auto"/>
              <w:jc w:val="right"/>
            </w:pPr>
            <w:r>
              <w:rPr>
                <w:sz w:val="18"/>
              </w:rPr>
              <w:t>640,60</w:t>
            </w:r>
          </w:p>
        </w:tc>
        <w:tc>
          <w:tcPr>
            <w:tcW w:w="1860" w:type="dxa"/>
            <w:tcMar>
              <w:top w:w="0" w:type="dxa"/>
              <w:bottom w:w="0" w:type="dxa"/>
            </w:tcMar>
            <w:vAlign w:val="center"/>
          </w:tcPr>
          <w:p w14:paraId="2E8326A9" w14:textId="77777777" w:rsidR="006C4910" w:rsidRDefault="0065372D">
            <w:pPr>
              <w:keepNext/>
              <w:keepLines/>
              <w:spacing w:after="0" w:line="240" w:lineRule="auto"/>
              <w:jc w:val="right"/>
            </w:pPr>
            <w:r>
              <w:rPr>
                <w:sz w:val="18"/>
              </w:rPr>
              <w:t>10.726,25</w:t>
            </w:r>
          </w:p>
        </w:tc>
        <w:tc>
          <w:tcPr>
            <w:tcW w:w="700" w:type="dxa"/>
            <w:tcMar>
              <w:top w:w="0" w:type="dxa"/>
              <w:bottom w:w="0" w:type="dxa"/>
            </w:tcMar>
            <w:vAlign w:val="center"/>
          </w:tcPr>
          <w:p w14:paraId="786EFEAD" w14:textId="77777777" w:rsidR="006C4910" w:rsidRDefault="0065372D">
            <w:pPr>
              <w:keepNext/>
              <w:keepLines/>
              <w:spacing w:after="0" w:line="240" w:lineRule="auto"/>
              <w:jc w:val="right"/>
            </w:pPr>
            <w:r>
              <w:rPr>
                <w:sz w:val="18"/>
              </w:rPr>
              <w:t>1674,4</w:t>
            </w:r>
          </w:p>
        </w:tc>
      </w:tr>
    </w:tbl>
    <w:p w14:paraId="42DE21F4" w14:textId="77777777" w:rsidR="006C4910" w:rsidRDefault="006C4910">
      <w:pPr>
        <w:spacing w:after="0"/>
      </w:pPr>
    </w:p>
    <w:p w14:paraId="5EC96D19" w14:textId="77777777" w:rsidR="006C4910" w:rsidRDefault="0065372D">
      <w:r>
        <w:t>U 2025. godini je obilježeno 20 godina postojanja Doma Duga - Zagreb, za što je tiskan prigodni materijal, izrađen promotivni video i nabavljeni promidžbeni materijali.</w:t>
      </w:r>
    </w:p>
    <w:p w14:paraId="706B41A7" w14:textId="77777777" w:rsidR="006C4910" w:rsidRDefault="006C4910"/>
    <w:p w14:paraId="5DC2A13F" w14:textId="77777777" w:rsidR="006C4910" w:rsidRDefault="0065372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ED4CB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B0D837"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635FCB"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5EAFDC"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D5ED7"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7C48BB"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FEF39D" w14:textId="77777777" w:rsidR="006C4910" w:rsidRDefault="0065372D">
            <w:pPr>
              <w:keepNext/>
              <w:keepLines/>
              <w:spacing w:after="0" w:line="240" w:lineRule="auto"/>
              <w:jc w:val="center"/>
            </w:pPr>
            <w:r>
              <w:rPr>
                <w:b/>
                <w:sz w:val="18"/>
              </w:rPr>
              <w:t>Indeks (%)</w:t>
            </w:r>
          </w:p>
        </w:tc>
      </w:tr>
      <w:tr w:rsidR="006C4910" w14:paraId="6FB14364" w14:textId="77777777">
        <w:tblPrEx>
          <w:tblCellMar>
            <w:top w:w="0" w:type="dxa"/>
            <w:bottom w:w="0" w:type="dxa"/>
          </w:tblCellMar>
        </w:tblPrEx>
        <w:trPr>
          <w:cantSplit/>
          <w:trHeight w:val="560"/>
        </w:trPr>
        <w:tc>
          <w:tcPr>
            <w:tcW w:w="700" w:type="dxa"/>
            <w:tcMar>
              <w:top w:w="0" w:type="dxa"/>
              <w:bottom w:w="0" w:type="dxa"/>
            </w:tcMar>
            <w:vAlign w:val="center"/>
          </w:tcPr>
          <w:p w14:paraId="448B90D2" w14:textId="77777777" w:rsidR="006C4910" w:rsidRDefault="0065372D">
            <w:pPr>
              <w:keepNext/>
              <w:keepLines/>
              <w:spacing w:after="0" w:line="240" w:lineRule="auto"/>
            </w:pPr>
            <w:r>
              <w:rPr>
                <w:sz w:val="18"/>
              </w:rPr>
              <w:t>3235</w:t>
            </w:r>
          </w:p>
        </w:tc>
        <w:tc>
          <w:tcPr>
            <w:tcW w:w="3180" w:type="dxa"/>
            <w:tcMar>
              <w:top w:w="0" w:type="dxa"/>
              <w:bottom w:w="0" w:type="dxa"/>
            </w:tcMar>
            <w:vAlign w:val="center"/>
          </w:tcPr>
          <w:p w14:paraId="393FABDF" w14:textId="77777777" w:rsidR="006C4910" w:rsidRDefault="0065372D">
            <w:pPr>
              <w:keepNext/>
              <w:keepLines/>
              <w:spacing w:after="0" w:line="240" w:lineRule="auto"/>
            </w:pPr>
            <w:r>
              <w:rPr>
                <w:sz w:val="18"/>
              </w:rPr>
              <w:t>Zakupnine i najamnine</w:t>
            </w:r>
          </w:p>
        </w:tc>
        <w:tc>
          <w:tcPr>
            <w:tcW w:w="700" w:type="dxa"/>
            <w:tcMar>
              <w:top w:w="0" w:type="dxa"/>
              <w:bottom w:w="0" w:type="dxa"/>
            </w:tcMar>
            <w:vAlign w:val="center"/>
          </w:tcPr>
          <w:p w14:paraId="5AB14CD9" w14:textId="77777777" w:rsidR="006C4910" w:rsidRDefault="0065372D">
            <w:pPr>
              <w:keepNext/>
              <w:keepLines/>
              <w:spacing w:after="0" w:line="240" w:lineRule="auto"/>
            </w:pPr>
            <w:r>
              <w:rPr>
                <w:sz w:val="18"/>
              </w:rPr>
              <w:t>3235</w:t>
            </w:r>
          </w:p>
        </w:tc>
        <w:tc>
          <w:tcPr>
            <w:tcW w:w="1860" w:type="dxa"/>
            <w:tcMar>
              <w:top w:w="0" w:type="dxa"/>
              <w:bottom w:w="0" w:type="dxa"/>
            </w:tcMar>
            <w:vAlign w:val="center"/>
          </w:tcPr>
          <w:p w14:paraId="5EDDFB92" w14:textId="77777777" w:rsidR="006C4910" w:rsidRDefault="0065372D">
            <w:pPr>
              <w:keepNext/>
              <w:keepLines/>
              <w:spacing w:after="0" w:line="240" w:lineRule="auto"/>
              <w:jc w:val="right"/>
            </w:pPr>
            <w:r>
              <w:rPr>
                <w:sz w:val="18"/>
              </w:rPr>
              <w:t>5.949,23</w:t>
            </w:r>
          </w:p>
        </w:tc>
        <w:tc>
          <w:tcPr>
            <w:tcW w:w="1860" w:type="dxa"/>
            <w:tcMar>
              <w:top w:w="0" w:type="dxa"/>
              <w:bottom w:w="0" w:type="dxa"/>
            </w:tcMar>
            <w:vAlign w:val="center"/>
          </w:tcPr>
          <w:p w14:paraId="0508E89C" w14:textId="77777777" w:rsidR="006C4910" w:rsidRDefault="0065372D">
            <w:pPr>
              <w:keepNext/>
              <w:keepLines/>
              <w:spacing w:after="0" w:line="240" w:lineRule="auto"/>
              <w:jc w:val="right"/>
            </w:pPr>
            <w:r>
              <w:rPr>
                <w:sz w:val="18"/>
              </w:rPr>
              <w:t>8.593,20</w:t>
            </w:r>
          </w:p>
        </w:tc>
        <w:tc>
          <w:tcPr>
            <w:tcW w:w="700" w:type="dxa"/>
            <w:tcMar>
              <w:top w:w="0" w:type="dxa"/>
              <w:bottom w:w="0" w:type="dxa"/>
            </w:tcMar>
            <w:vAlign w:val="center"/>
          </w:tcPr>
          <w:p w14:paraId="41D0509C" w14:textId="77777777" w:rsidR="006C4910" w:rsidRDefault="0065372D">
            <w:pPr>
              <w:keepNext/>
              <w:keepLines/>
              <w:spacing w:after="0" w:line="240" w:lineRule="auto"/>
              <w:jc w:val="right"/>
            </w:pPr>
            <w:r>
              <w:rPr>
                <w:sz w:val="18"/>
              </w:rPr>
              <w:t>144,4</w:t>
            </w:r>
          </w:p>
        </w:tc>
      </w:tr>
    </w:tbl>
    <w:p w14:paraId="7E73418B" w14:textId="77777777" w:rsidR="006C4910" w:rsidRDefault="006C4910">
      <w:pPr>
        <w:spacing w:after="0"/>
      </w:pPr>
    </w:p>
    <w:p w14:paraId="26A67931" w14:textId="77777777" w:rsidR="006C4910" w:rsidRDefault="0065372D">
      <w:r>
        <w:t>Zbog organiziranja proslave 20. godina ustanove, povećani su troškovi najma prostora te opreme potrebne za organiziranje proslave. Također je umjesto nabavke novog fotokopirnog stroja ugovorena njegov najam krajem prošle godine.</w:t>
      </w:r>
    </w:p>
    <w:p w14:paraId="5B8424D7" w14:textId="77777777" w:rsidR="006C4910" w:rsidRDefault="006C4910"/>
    <w:p w14:paraId="7786365A" w14:textId="77777777" w:rsidR="006C4910" w:rsidRDefault="0065372D">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4E1700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E00A43"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F69804"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285AD"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3F2ED7"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F4C4A6"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28E647" w14:textId="77777777" w:rsidR="006C4910" w:rsidRDefault="0065372D">
            <w:pPr>
              <w:keepNext/>
              <w:keepLines/>
              <w:spacing w:after="0" w:line="240" w:lineRule="auto"/>
              <w:jc w:val="center"/>
            </w:pPr>
            <w:r>
              <w:rPr>
                <w:b/>
                <w:sz w:val="18"/>
              </w:rPr>
              <w:t>Indeks (%)</w:t>
            </w:r>
          </w:p>
        </w:tc>
      </w:tr>
      <w:tr w:rsidR="006C4910" w14:paraId="527A80EC" w14:textId="77777777">
        <w:tblPrEx>
          <w:tblCellMar>
            <w:top w:w="0" w:type="dxa"/>
            <w:bottom w:w="0" w:type="dxa"/>
          </w:tblCellMar>
        </w:tblPrEx>
        <w:trPr>
          <w:cantSplit/>
          <w:trHeight w:val="560"/>
        </w:trPr>
        <w:tc>
          <w:tcPr>
            <w:tcW w:w="700" w:type="dxa"/>
            <w:tcMar>
              <w:top w:w="0" w:type="dxa"/>
              <w:bottom w:w="0" w:type="dxa"/>
            </w:tcMar>
            <w:vAlign w:val="center"/>
          </w:tcPr>
          <w:p w14:paraId="63826A67" w14:textId="77777777" w:rsidR="006C4910" w:rsidRDefault="0065372D">
            <w:pPr>
              <w:keepNext/>
              <w:keepLines/>
              <w:spacing w:after="0" w:line="240" w:lineRule="auto"/>
            </w:pPr>
            <w:r>
              <w:rPr>
                <w:sz w:val="18"/>
              </w:rPr>
              <w:t>3236</w:t>
            </w:r>
          </w:p>
        </w:tc>
        <w:tc>
          <w:tcPr>
            <w:tcW w:w="3180" w:type="dxa"/>
            <w:tcMar>
              <w:top w:w="0" w:type="dxa"/>
              <w:bottom w:w="0" w:type="dxa"/>
            </w:tcMar>
            <w:vAlign w:val="center"/>
          </w:tcPr>
          <w:p w14:paraId="1D38E509" w14:textId="77777777" w:rsidR="006C4910" w:rsidRDefault="0065372D">
            <w:pPr>
              <w:keepNext/>
              <w:keepLines/>
              <w:spacing w:after="0" w:line="240" w:lineRule="auto"/>
            </w:pPr>
            <w:r>
              <w:rPr>
                <w:sz w:val="18"/>
              </w:rPr>
              <w:t>Zdravstvene i veterinarske usluge</w:t>
            </w:r>
          </w:p>
        </w:tc>
        <w:tc>
          <w:tcPr>
            <w:tcW w:w="700" w:type="dxa"/>
            <w:tcMar>
              <w:top w:w="0" w:type="dxa"/>
              <w:bottom w:w="0" w:type="dxa"/>
            </w:tcMar>
            <w:vAlign w:val="center"/>
          </w:tcPr>
          <w:p w14:paraId="2AB74829" w14:textId="77777777" w:rsidR="006C4910" w:rsidRDefault="0065372D">
            <w:pPr>
              <w:keepNext/>
              <w:keepLines/>
              <w:spacing w:after="0" w:line="240" w:lineRule="auto"/>
            </w:pPr>
            <w:r>
              <w:rPr>
                <w:sz w:val="18"/>
              </w:rPr>
              <w:t>3236</w:t>
            </w:r>
          </w:p>
        </w:tc>
        <w:tc>
          <w:tcPr>
            <w:tcW w:w="1860" w:type="dxa"/>
            <w:tcMar>
              <w:top w:w="0" w:type="dxa"/>
              <w:bottom w:w="0" w:type="dxa"/>
            </w:tcMar>
            <w:vAlign w:val="center"/>
          </w:tcPr>
          <w:p w14:paraId="54582815" w14:textId="77777777" w:rsidR="006C4910" w:rsidRDefault="0065372D">
            <w:pPr>
              <w:keepNext/>
              <w:keepLines/>
              <w:spacing w:after="0" w:line="240" w:lineRule="auto"/>
              <w:jc w:val="right"/>
            </w:pPr>
            <w:r>
              <w:rPr>
                <w:sz w:val="18"/>
              </w:rPr>
              <w:t>4.994,72</w:t>
            </w:r>
          </w:p>
        </w:tc>
        <w:tc>
          <w:tcPr>
            <w:tcW w:w="1860" w:type="dxa"/>
            <w:tcMar>
              <w:top w:w="0" w:type="dxa"/>
              <w:bottom w:w="0" w:type="dxa"/>
            </w:tcMar>
            <w:vAlign w:val="center"/>
          </w:tcPr>
          <w:p w14:paraId="550689A4" w14:textId="77777777" w:rsidR="006C4910" w:rsidRDefault="0065372D">
            <w:pPr>
              <w:keepNext/>
              <w:keepLines/>
              <w:spacing w:after="0" w:line="240" w:lineRule="auto"/>
              <w:jc w:val="right"/>
            </w:pPr>
            <w:r>
              <w:rPr>
                <w:sz w:val="18"/>
              </w:rPr>
              <w:t>7.595,70</w:t>
            </w:r>
          </w:p>
        </w:tc>
        <w:tc>
          <w:tcPr>
            <w:tcW w:w="700" w:type="dxa"/>
            <w:tcMar>
              <w:top w:w="0" w:type="dxa"/>
              <w:bottom w:w="0" w:type="dxa"/>
            </w:tcMar>
            <w:vAlign w:val="center"/>
          </w:tcPr>
          <w:p w14:paraId="76DB3483" w14:textId="77777777" w:rsidR="006C4910" w:rsidRDefault="0065372D">
            <w:pPr>
              <w:keepNext/>
              <w:keepLines/>
              <w:spacing w:after="0" w:line="240" w:lineRule="auto"/>
              <w:jc w:val="right"/>
            </w:pPr>
            <w:r>
              <w:rPr>
                <w:sz w:val="18"/>
              </w:rPr>
              <w:t>152,1</w:t>
            </w:r>
          </w:p>
        </w:tc>
      </w:tr>
    </w:tbl>
    <w:p w14:paraId="40B0B6F9" w14:textId="77777777" w:rsidR="006C4910" w:rsidRDefault="006C4910">
      <w:pPr>
        <w:spacing w:after="0"/>
      </w:pPr>
    </w:p>
    <w:p w14:paraId="5668551C" w14:textId="77777777" w:rsidR="006C4910" w:rsidRDefault="0065372D">
      <w:r>
        <w:t>U 2025. godini su organizirani detaljni sistematski pregledi za zaposlenike, što je povećalo iznos stavke zdravstvenih pregleda.</w:t>
      </w:r>
    </w:p>
    <w:p w14:paraId="7B95E72A" w14:textId="77777777" w:rsidR="006C4910" w:rsidRDefault="006C4910"/>
    <w:p w14:paraId="40D227D9" w14:textId="77777777" w:rsidR="006C4910" w:rsidRDefault="0065372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E0C57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F97C2"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7DC4D7"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F5645E"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83215"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46117E"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19DBA6" w14:textId="77777777" w:rsidR="006C4910" w:rsidRDefault="0065372D">
            <w:pPr>
              <w:keepNext/>
              <w:keepLines/>
              <w:spacing w:after="0" w:line="240" w:lineRule="auto"/>
              <w:jc w:val="center"/>
            </w:pPr>
            <w:r>
              <w:rPr>
                <w:b/>
                <w:sz w:val="18"/>
              </w:rPr>
              <w:t>Indeks (%)</w:t>
            </w:r>
          </w:p>
        </w:tc>
      </w:tr>
      <w:tr w:rsidR="006C4910" w14:paraId="04683C24" w14:textId="77777777">
        <w:tblPrEx>
          <w:tblCellMar>
            <w:top w:w="0" w:type="dxa"/>
            <w:bottom w:w="0" w:type="dxa"/>
          </w:tblCellMar>
        </w:tblPrEx>
        <w:trPr>
          <w:cantSplit/>
          <w:trHeight w:val="560"/>
        </w:trPr>
        <w:tc>
          <w:tcPr>
            <w:tcW w:w="700" w:type="dxa"/>
            <w:tcMar>
              <w:top w:w="0" w:type="dxa"/>
              <w:bottom w:w="0" w:type="dxa"/>
            </w:tcMar>
            <w:vAlign w:val="center"/>
          </w:tcPr>
          <w:p w14:paraId="3A758A0F" w14:textId="77777777" w:rsidR="006C4910" w:rsidRDefault="0065372D">
            <w:pPr>
              <w:keepNext/>
              <w:keepLines/>
              <w:spacing w:after="0" w:line="240" w:lineRule="auto"/>
            </w:pPr>
            <w:r>
              <w:rPr>
                <w:sz w:val="18"/>
              </w:rPr>
              <w:t>3293</w:t>
            </w:r>
          </w:p>
        </w:tc>
        <w:tc>
          <w:tcPr>
            <w:tcW w:w="3180" w:type="dxa"/>
            <w:tcMar>
              <w:top w:w="0" w:type="dxa"/>
              <w:bottom w:w="0" w:type="dxa"/>
            </w:tcMar>
            <w:vAlign w:val="center"/>
          </w:tcPr>
          <w:p w14:paraId="4A3E3B96" w14:textId="77777777" w:rsidR="006C4910" w:rsidRDefault="0065372D">
            <w:pPr>
              <w:keepNext/>
              <w:keepLines/>
              <w:spacing w:after="0" w:line="240" w:lineRule="auto"/>
            </w:pPr>
            <w:r>
              <w:rPr>
                <w:sz w:val="18"/>
              </w:rPr>
              <w:t>Reprezentacija</w:t>
            </w:r>
          </w:p>
        </w:tc>
        <w:tc>
          <w:tcPr>
            <w:tcW w:w="700" w:type="dxa"/>
            <w:tcMar>
              <w:top w:w="0" w:type="dxa"/>
              <w:bottom w:w="0" w:type="dxa"/>
            </w:tcMar>
            <w:vAlign w:val="center"/>
          </w:tcPr>
          <w:p w14:paraId="5080D709" w14:textId="77777777" w:rsidR="006C4910" w:rsidRDefault="0065372D">
            <w:pPr>
              <w:keepNext/>
              <w:keepLines/>
              <w:spacing w:after="0" w:line="240" w:lineRule="auto"/>
            </w:pPr>
            <w:r>
              <w:rPr>
                <w:sz w:val="18"/>
              </w:rPr>
              <w:t>3293</w:t>
            </w:r>
          </w:p>
        </w:tc>
        <w:tc>
          <w:tcPr>
            <w:tcW w:w="1860" w:type="dxa"/>
            <w:tcMar>
              <w:top w:w="0" w:type="dxa"/>
              <w:bottom w:w="0" w:type="dxa"/>
            </w:tcMar>
            <w:vAlign w:val="center"/>
          </w:tcPr>
          <w:p w14:paraId="79C66389" w14:textId="77777777" w:rsidR="006C4910" w:rsidRDefault="0065372D">
            <w:pPr>
              <w:keepNext/>
              <w:keepLines/>
              <w:spacing w:after="0" w:line="240" w:lineRule="auto"/>
              <w:jc w:val="right"/>
            </w:pPr>
            <w:r>
              <w:rPr>
                <w:sz w:val="18"/>
              </w:rPr>
              <w:t>879,81</w:t>
            </w:r>
          </w:p>
        </w:tc>
        <w:tc>
          <w:tcPr>
            <w:tcW w:w="1860" w:type="dxa"/>
            <w:tcMar>
              <w:top w:w="0" w:type="dxa"/>
              <w:bottom w:w="0" w:type="dxa"/>
            </w:tcMar>
            <w:vAlign w:val="center"/>
          </w:tcPr>
          <w:p w14:paraId="4AE574DB" w14:textId="77777777" w:rsidR="006C4910" w:rsidRDefault="0065372D">
            <w:pPr>
              <w:keepNext/>
              <w:keepLines/>
              <w:spacing w:after="0" w:line="240" w:lineRule="auto"/>
              <w:jc w:val="right"/>
            </w:pPr>
            <w:r>
              <w:rPr>
                <w:sz w:val="18"/>
              </w:rPr>
              <w:t>6.505,83</w:t>
            </w:r>
          </w:p>
        </w:tc>
        <w:tc>
          <w:tcPr>
            <w:tcW w:w="700" w:type="dxa"/>
            <w:tcMar>
              <w:top w:w="0" w:type="dxa"/>
              <w:bottom w:w="0" w:type="dxa"/>
            </w:tcMar>
            <w:vAlign w:val="center"/>
          </w:tcPr>
          <w:p w14:paraId="5FC0D996" w14:textId="77777777" w:rsidR="006C4910" w:rsidRDefault="0065372D">
            <w:pPr>
              <w:keepNext/>
              <w:keepLines/>
              <w:spacing w:after="0" w:line="240" w:lineRule="auto"/>
              <w:jc w:val="right"/>
            </w:pPr>
            <w:r>
              <w:rPr>
                <w:sz w:val="18"/>
              </w:rPr>
              <w:t>739,5</w:t>
            </w:r>
          </w:p>
        </w:tc>
      </w:tr>
    </w:tbl>
    <w:p w14:paraId="2DD7F317" w14:textId="77777777" w:rsidR="006C4910" w:rsidRDefault="006C4910">
      <w:pPr>
        <w:spacing w:after="0"/>
      </w:pPr>
    </w:p>
    <w:p w14:paraId="5095942B" w14:textId="77777777" w:rsidR="006C4910" w:rsidRDefault="0065372D">
      <w:r>
        <w:t>Zbog organizacije proslave 20. godina rada Ustanove, povećani su troškovi reprezentacije zbog osvježenja za uzvanike proslave.</w:t>
      </w:r>
    </w:p>
    <w:p w14:paraId="15621528" w14:textId="77777777" w:rsidR="006C4910" w:rsidRDefault="006C4910"/>
    <w:p w14:paraId="6ED269B5" w14:textId="77777777" w:rsidR="006C4910" w:rsidRDefault="0065372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4BC289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2E3E37"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158864"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1E37F3"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553408"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B9C6B7"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09099C" w14:textId="77777777" w:rsidR="006C4910" w:rsidRDefault="0065372D">
            <w:pPr>
              <w:keepNext/>
              <w:keepLines/>
              <w:spacing w:after="0" w:line="240" w:lineRule="auto"/>
              <w:jc w:val="center"/>
            </w:pPr>
            <w:r>
              <w:rPr>
                <w:b/>
                <w:sz w:val="18"/>
              </w:rPr>
              <w:t>Indeks (%)</w:t>
            </w:r>
          </w:p>
        </w:tc>
      </w:tr>
      <w:tr w:rsidR="006C4910" w14:paraId="5FE64A51" w14:textId="77777777">
        <w:tblPrEx>
          <w:tblCellMar>
            <w:top w:w="0" w:type="dxa"/>
            <w:bottom w:w="0" w:type="dxa"/>
          </w:tblCellMar>
        </w:tblPrEx>
        <w:trPr>
          <w:cantSplit/>
          <w:trHeight w:val="560"/>
        </w:trPr>
        <w:tc>
          <w:tcPr>
            <w:tcW w:w="700" w:type="dxa"/>
            <w:tcMar>
              <w:top w:w="0" w:type="dxa"/>
              <w:bottom w:w="0" w:type="dxa"/>
            </w:tcMar>
            <w:vAlign w:val="center"/>
          </w:tcPr>
          <w:p w14:paraId="01156595" w14:textId="77777777" w:rsidR="006C4910" w:rsidRDefault="0065372D">
            <w:pPr>
              <w:keepNext/>
              <w:keepLines/>
              <w:spacing w:after="0" w:line="240" w:lineRule="auto"/>
            </w:pPr>
            <w:r>
              <w:rPr>
                <w:sz w:val="18"/>
              </w:rPr>
              <w:t>3431</w:t>
            </w:r>
          </w:p>
        </w:tc>
        <w:tc>
          <w:tcPr>
            <w:tcW w:w="3180" w:type="dxa"/>
            <w:tcMar>
              <w:top w:w="0" w:type="dxa"/>
              <w:bottom w:w="0" w:type="dxa"/>
            </w:tcMar>
            <w:vAlign w:val="center"/>
          </w:tcPr>
          <w:p w14:paraId="2CE6BDA0" w14:textId="77777777" w:rsidR="006C4910" w:rsidRDefault="0065372D">
            <w:pPr>
              <w:keepNext/>
              <w:keepLines/>
              <w:spacing w:after="0" w:line="240" w:lineRule="auto"/>
            </w:pPr>
            <w:r>
              <w:rPr>
                <w:sz w:val="18"/>
              </w:rPr>
              <w:t>Bankarske usluge i usluge platnog prometa</w:t>
            </w:r>
          </w:p>
        </w:tc>
        <w:tc>
          <w:tcPr>
            <w:tcW w:w="700" w:type="dxa"/>
            <w:tcMar>
              <w:top w:w="0" w:type="dxa"/>
              <w:bottom w:w="0" w:type="dxa"/>
            </w:tcMar>
            <w:vAlign w:val="center"/>
          </w:tcPr>
          <w:p w14:paraId="2B057B52" w14:textId="77777777" w:rsidR="006C4910" w:rsidRDefault="0065372D">
            <w:pPr>
              <w:keepNext/>
              <w:keepLines/>
              <w:spacing w:after="0" w:line="240" w:lineRule="auto"/>
            </w:pPr>
            <w:r>
              <w:rPr>
                <w:sz w:val="18"/>
              </w:rPr>
              <w:t>3431</w:t>
            </w:r>
          </w:p>
        </w:tc>
        <w:tc>
          <w:tcPr>
            <w:tcW w:w="1860" w:type="dxa"/>
            <w:tcMar>
              <w:top w:w="0" w:type="dxa"/>
              <w:bottom w:w="0" w:type="dxa"/>
            </w:tcMar>
            <w:vAlign w:val="center"/>
          </w:tcPr>
          <w:p w14:paraId="0C58AFC1" w14:textId="77777777" w:rsidR="006C4910" w:rsidRDefault="0065372D">
            <w:pPr>
              <w:keepNext/>
              <w:keepLines/>
              <w:spacing w:after="0" w:line="240" w:lineRule="auto"/>
              <w:jc w:val="right"/>
            </w:pPr>
            <w:r>
              <w:rPr>
                <w:sz w:val="18"/>
              </w:rPr>
              <w:t>428,48</w:t>
            </w:r>
          </w:p>
        </w:tc>
        <w:tc>
          <w:tcPr>
            <w:tcW w:w="1860" w:type="dxa"/>
            <w:tcMar>
              <w:top w:w="0" w:type="dxa"/>
              <w:bottom w:w="0" w:type="dxa"/>
            </w:tcMar>
            <w:vAlign w:val="center"/>
          </w:tcPr>
          <w:p w14:paraId="415B285D" w14:textId="77777777" w:rsidR="006C4910" w:rsidRDefault="0065372D">
            <w:pPr>
              <w:keepNext/>
              <w:keepLines/>
              <w:spacing w:after="0" w:line="240" w:lineRule="auto"/>
              <w:jc w:val="right"/>
            </w:pPr>
            <w:r>
              <w:rPr>
                <w:sz w:val="18"/>
              </w:rPr>
              <w:t>743,52</w:t>
            </w:r>
          </w:p>
        </w:tc>
        <w:tc>
          <w:tcPr>
            <w:tcW w:w="700" w:type="dxa"/>
            <w:tcMar>
              <w:top w:w="0" w:type="dxa"/>
              <w:bottom w:w="0" w:type="dxa"/>
            </w:tcMar>
            <w:vAlign w:val="center"/>
          </w:tcPr>
          <w:p w14:paraId="61283E2E" w14:textId="77777777" w:rsidR="006C4910" w:rsidRDefault="0065372D">
            <w:pPr>
              <w:keepNext/>
              <w:keepLines/>
              <w:spacing w:after="0" w:line="240" w:lineRule="auto"/>
              <w:jc w:val="right"/>
            </w:pPr>
            <w:r>
              <w:rPr>
                <w:sz w:val="18"/>
              </w:rPr>
              <w:t>173,5</w:t>
            </w:r>
          </w:p>
        </w:tc>
      </w:tr>
    </w:tbl>
    <w:p w14:paraId="20BDFCF0" w14:textId="77777777" w:rsidR="006C4910" w:rsidRDefault="006C4910">
      <w:pPr>
        <w:spacing w:after="0"/>
      </w:pPr>
    </w:p>
    <w:p w14:paraId="339D522A" w14:textId="77777777" w:rsidR="006C4910" w:rsidRDefault="0065372D">
      <w:r>
        <w:t>Promjene uvjeta poslovanja banke povećali su stavku bankarskih troškova.</w:t>
      </w:r>
    </w:p>
    <w:p w14:paraId="3565D9F8" w14:textId="77777777" w:rsidR="006C4910" w:rsidRDefault="006C4910"/>
    <w:p w14:paraId="1F67C83A" w14:textId="77777777" w:rsidR="006C4910" w:rsidRDefault="0065372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6280C6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791755"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8115E9"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25334"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AEB746"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9D9EA"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E9A58D" w14:textId="77777777" w:rsidR="006C4910" w:rsidRDefault="0065372D">
            <w:pPr>
              <w:keepNext/>
              <w:keepLines/>
              <w:spacing w:after="0" w:line="240" w:lineRule="auto"/>
              <w:jc w:val="center"/>
            </w:pPr>
            <w:r>
              <w:rPr>
                <w:b/>
                <w:sz w:val="18"/>
              </w:rPr>
              <w:t>Indeks (%)</w:t>
            </w:r>
          </w:p>
        </w:tc>
      </w:tr>
      <w:tr w:rsidR="006C4910" w14:paraId="5262BD01" w14:textId="77777777">
        <w:tblPrEx>
          <w:tblCellMar>
            <w:top w:w="0" w:type="dxa"/>
            <w:bottom w:w="0" w:type="dxa"/>
          </w:tblCellMar>
        </w:tblPrEx>
        <w:trPr>
          <w:cantSplit/>
          <w:trHeight w:val="560"/>
        </w:trPr>
        <w:tc>
          <w:tcPr>
            <w:tcW w:w="700" w:type="dxa"/>
            <w:tcMar>
              <w:top w:w="0" w:type="dxa"/>
              <w:bottom w:w="0" w:type="dxa"/>
            </w:tcMar>
            <w:vAlign w:val="center"/>
          </w:tcPr>
          <w:p w14:paraId="015B33A2" w14:textId="77777777" w:rsidR="006C4910" w:rsidRDefault="0065372D">
            <w:pPr>
              <w:keepNext/>
              <w:keepLines/>
              <w:spacing w:after="0" w:line="240" w:lineRule="auto"/>
            </w:pPr>
            <w:r>
              <w:rPr>
                <w:sz w:val="18"/>
              </w:rPr>
              <w:t>7</w:t>
            </w:r>
          </w:p>
        </w:tc>
        <w:tc>
          <w:tcPr>
            <w:tcW w:w="3180" w:type="dxa"/>
            <w:tcMar>
              <w:top w:w="0" w:type="dxa"/>
              <w:bottom w:w="0" w:type="dxa"/>
            </w:tcMar>
            <w:vAlign w:val="center"/>
          </w:tcPr>
          <w:p w14:paraId="22D88BAB" w14:textId="77777777" w:rsidR="006C4910" w:rsidRDefault="0065372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872F357" w14:textId="77777777" w:rsidR="006C4910" w:rsidRDefault="0065372D">
            <w:pPr>
              <w:keepNext/>
              <w:keepLines/>
              <w:spacing w:after="0" w:line="240" w:lineRule="auto"/>
            </w:pPr>
            <w:r>
              <w:rPr>
                <w:sz w:val="18"/>
              </w:rPr>
              <w:t>7</w:t>
            </w:r>
          </w:p>
        </w:tc>
        <w:tc>
          <w:tcPr>
            <w:tcW w:w="1860" w:type="dxa"/>
            <w:tcMar>
              <w:top w:w="0" w:type="dxa"/>
              <w:bottom w:w="0" w:type="dxa"/>
            </w:tcMar>
            <w:vAlign w:val="center"/>
          </w:tcPr>
          <w:p w14:paraId="1CEE3C3E"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7A89DA68" w14:textId="77777777" w:rsidR="006C4910" w:rsidRDefault="0065372D">
            <w:pPr>
              <w:keepNext/>
              <w:keepLines/>
              <w:spacing w:after="0" w:line="240" w:lineRule="auto"/>
              <w:jc w:val="right"/>
            </w:pPr>
            <w:r>
              <w:rPr>
                <w:sz w:val="18"/>
              </w:rPr>
              <w:t>2.700,00</w:t>
            </w:r>
          </w:p>
        </w:tc>
        <w:tc>
          <w:tcPr>
            <w:tcW w:w="700" w:type="dxa"/>
            <w:tcMar>
              <w:top w:w="0" w:type="dxa"/>
              <w:bottom w:w="0" w:type="dxa"/>
            </w:tcMar>
            <w:vAlign w:val="center"/>
          </w:tcPr>
          <w:p w14:paraId="158CB75A" w14:textId="77777777" w:rsidR="006C4910" w:rsidRDefault="0065372D">
            <w:pPr>
              <w:keepNext/>
              <w:keepLines/>
              <w:spacing w:after="0" w:line="240" w:lineRule="auto"/>
              <w:jc w:val="right"/>
            </w:pPr>
            <w:r>
              <w:rPr>
                <w:sz w:val="18"/>
              </w:rPr>
              <w:t>-</w:t>
            </w:r>
          </w:p>
        </w:tc>
      </w:tr>
    </w:tbl>
    <w:p w14:paraId="30F9A9E1" w14:textId="77777777" w:rsidR="006C4910" w:rsidRDefault="006C4910">
      <w:pPr>
        <w:spacing w:after="0"/>
      </w:pPr>
    </w:p>
    <w:p w14:paraId="74F6E065" w14:textId="77777777" w:rsidR="006C4910" w:rsidRDefault="0065372D">
      <w:r>
        <w:t>U 4. mjesecu je prodan 16 godina star teretni automobil zbog dotrajalosti budući je prošle godine nabavljen novi.</w:t>
      </w:r>
    </w:p>
    <w:p w14:paraId="3E0B83B8" w14:textId="77777777" w:rsidR="006C4910" w:rsidRDefault="006C4910"/>
    <w:p w14:paraId="5AC8FB97" w14:textId="77777777" w:rsidR="006C4910" w:rsidRDefault="0065372D">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11203F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68B036"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CF816"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63033"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73BD97"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3D1203"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E8E183" w14:textId="77777777" w:rsidR="006C4910" w:rsidRDefault="0065372D">
            <w:pPr>
              <w:keepNext/>
              <w:keepLines/>
              <w:spacing w:after="0" w:line="240" w:lineRule="auto"/>
              <w:jc w:val="center"/>
            </w:pPr>
            <w:r>
              <w:rPr>
                <w:b/>
                <w:sz w:val="18"/>
              </w:rPr>
              <w:t>Indeks (%)</w:t>
            </w:r>
          </w:p>
        </w:tc>
      </w:tr>
      <w:tr w:rsidR="006C4910" w14:paraId="125AF006" w14:textId="77777777">
        <w:tblPrEx>
          <w:tblCellMar>
            <w:top w:w="0" w:type="dxa"/>
            <w:bottom w:w="0" w:type="dxa"/>
          </w:tblCellMar>
        </w:tblPrEx>
        <w:trPr>
          <w:cantSplit/>
          <w:trHeight w:val="560"/>
        </w:trPr>
        <w:tc>
          <w:tcPr>
            <w:tcW w:w="700" w:type="dxa"/>
            <w:tcMar>
              <w:top w:w="0" w:type="dxa"/>
              <w:bottom w:w="0" w:type="dxa"/>
            </w:tcMar>
            <w:vAlign w:val="center"/>
          </w:tcPr>
          <w:p w14:paraId="1D3E38D5" w14:textId="77777777" w:rsidR="006C4910" w:rsidRDefault="0065372D">
            <w:pPr>
              <w:keepNext/>
              <w:keepLines/>
              <w:spacing w:after="0" w:line="240" w:lineRule="auto"/>
            </w:pPr>
            <w:r>
              <w:rPr>
                <w:sz w:val="18"/>
              </w:rPr>
              <w:t>72</w:t>
            </w:r>
          </w:p>
        </w:tc>
        <w:tc>
          <w:tcPr>
            <w:tcW w:w="3180" w:type="dxa"/>
            <w:tcMar>
              <w:top w:w="0" w:type="dxa"/>
              <w:bottom w:w="0" w:type="dxa"/>
            </w:tcMar>
            <w:vAlign w:val="center"/>
          </w:tcPr>
          <w:p w14:paraId="7717046A" w14:textId="77777777" w:rsidR="006C4910" w:rsidRDefault="0065372D">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491149D2" w14:textId="77777777" w:rsidR="006C4910" w:rsidRDefault="0065372D">
            <w:pPr>
              <w:keepNext/>
              <w:keepLines/>
              <w:spacing w:after="0" w:line="240" w:lineRule="auto"/>
            </w:pPr>
            <w:r>
              <w:rPr>
                <w:sz w:val="18"/>
              </w:rPr>
              <w:t>72</w:t>
            </w:r>
          </w:p>
        </w:tc>
        <w:tc>
          <w:tcPr>
            <w:tcW w:w="1860" w:type="dxa"/>
            <w:tcMar>
              <w:top w:w="0" w:type="dxa"/>
              <w:bottom w:w="0" w:type="dxa"/>
            </w:tcMar>
            <w:vAlign w:val="center"/>
          </w:tcPr>
          <w:p w14:paraId="3749EC1C"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29F3BA73" w14:textId="77777777" w:rsidR="006C4910" w:rsidRDefault="0065372D">
            <w:pPr>
              <w:keepNext/>
              <w:keepLines/>
              <w:spacing w:after="0" w:line="240" w:lineRule="auto"/>
              <w:jc w:val="right"/>
            </w:pPr>
            <w:r>
              <w:rPr>
                <w:sz w:val="18"/>
              </w:rPr>
              <w:t>2.700,00</w:t>
            </w:r>
          </w:p>
        </w:tc>
        <w:tc>
          <w:tcPr>
            <w:tcW w:w="700" w:type="dxa"/>
            <w:tcMar>
              <w:top w:w="0" w:type="dxa"/>
              <w:bottom w:w="0" w:type="dxa"/>
            </w:tcMar>
            <w:vAlign w:val="center"/>
          </w:tcPr>
          <w:p w14:paraId="0644A42C" w14:textId="77777777" w:rsidR="006C4910" w:rsidRDefault="0065372D">
            <w:pPr>
              <w:keepNext/>
              <w:keepLines/>
              <w:spacing w:after="0" w:line="240" w:lineRule="auto"/>
              <w:jc w:val="right"/>
            </w:pPr>
            <w:r>
              <w:rPr>
                <w:sz w:val="18"/>
              </w:rPr>
              <w:t>-</w:t>
            </w:r>
          </w:p>
        </w:tc>
      </w:tr>
    </w:tbl>
    <w:p w14:paraId="45B6C6F5" w14:textId="77777777" w:rsidR="006C4910" w:rsidRDefault="006C4910">
      <w:pPr>
        <w:spacing w:after="0"/>
      </w:pPr>
    </w:p>
    <w:p w14:paraId="0FFB885D" w14:textId="77777777" w:rsidR="006C4910" w:rsidRDefault="0065372D">
      <w:r>
        <w:t>U 4. mjesecu je prodan 16 godina star teretni automobil zbog dotrajalosti budući je prošle godine nabavljen novi.</w:t>
      </w:r>
    </w:p>
    <w:p w14:paraId="3FAB05B7" w14:textId="77777777" w:rsidR="006C4910" w:rsidRDefault="006C4910"/>
    <w:p w14:paraId="1F072496" w14:textId="77777777" w:rsidR="006C4910" w:rsidRDefault="0065372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3CFA3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133F91"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7A9CE8"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E2343E"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FAFEB3"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09DA23"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26B00" w14:textId="77777777" w:rsidR="006C4910" w:rsidRDefault="0065372D">
            <w:pPr>
              <w:keepNext/>
              <w:keepLines/>
              <w:spacing w:after="0" w:line="240" w:lineRule="auto"/>
              <w:jc w:val="center"/>
            </w:pPr>
            <w:r>
              <w:rPr>
                <w:b/>
                <w:sz w:val="18"/>
              </w:rPr>
              <w:t>Indeks (%)</w:t>
            </w:r>
          </w:p>
        </w:tc>
      </w:tr>
      <w:tr w:rsidR="006C4910" w14:paraId="2B289015" w14:textId="77777777">
        <w:tblPrEx>
          <w:tblCellMar>
            <w:top w:w="0" w:type="dxa"/>
            <w:bottom w:w="0" w:type="dxa"/>
          </w:tblCellMar>
        </w:tblPrEx>
        <w:trPr>
          <w:cantSplit/>
          <w:trHeight w:val="560"/>
        </w:trPr>
        <w:tc>
          <w:tcPr>
            <w:tcW w:w="700" w:type="dxa"/>
            <w:tcMar>
              <w:top w:w="0" w:type="dxa"/>
              <w:bottom w:w="0" w:type="dxa"/>
            </w:tcMar>
            <w:vAlign w:val="center"/>
          </w:tcPr>
          <w:p w14:paraId="5FB70706" w14:textId="77777777" w:rsidR="006C4910" w:rsidRDefault="0065372D">
            <w:pPr>
              <w:keepNext/>
              <w:keepLines/>
              <w:spacing w:after="0" w:line="240" w:lineRule="auto"/>
            </w:pPr>
            <w:r>
              <w:rPr>
                <w:sz w:val="18"/>
              </w:rPr>
              <w:t>422</w:t>
            </w:r>
          </w:p>
        </w:tc>
        <w:tc>
          <w:tcPr>
            <w:tcW w:w="3180" w:type="dxa"/>
            <w:tcMar>
              <w:top w:w="0" w:type="dxa"/>
              <w:bottom w:w="0" w:type="dxa"/>
            </w:tcMar>
            <w:vAlign w:val="center"/>
          </w:tcPr>
          <w:p w14:paraId="0B95482D" w14:textId="77777777" w:rsidR="006C4910" w:rsidRDefault="0065372D">
            <w:pPr>
              <w:keepNext/>
              <w:keepLines/>
              <w:spacing w:after="0" w:line="240" w:lineRule="auto"/>
            </w:pPr>
            <w:r>
              <w:rPr>
                <w:sz w:val="18"/>
              </w:rPr>
              <w:t>Postrojenja i oprema (šifre 4221 do 4228)</w:t>
            </w:r>
          </w:p>
        </w:tc>
        <w:tc>
          <w:tcPr>
            <w:tcW w:w="700" w:type="dxa"/>
            <w:tcMar>
              <w:top w:w="0" w:type="dxa"/>
              <w:bottom w:w="0" w:type="dxa"/>
            </w:tcMar>
            <w:vAlign w:val="center"/>
          </w:tcPr>
          <w:p w14:paraId="78FE9566" w14:textId="77777777" w:rsidR="006C4910" w:rsidRDefault="0065372D">
            <w:pPr>
              <w:keepNext/>
              <w:keepLines/>
              <w:spacing w:after="0" w:line="240" w:lineRule="auto"/>
            </w:pPr>
            <w:r>
              <w:rPr>
                <w:sz w:val="18"/>
              </w:rPr>
              <w:t>422</w:t>
            </w:r>
          </w:p>
        </w:tc>
        <w:tc>
          <w:tcPr>
            <w:tcW w:w="1860" w:type="dxa"/>
            <w:tcMar>
              <w:top w:w="0" w:type="dxa"/>
              <w:bottom w:w="0" w:type="dxa"/>
            </w:tcMar>
            <w:vAlign w:val="center"/>
          </w:tcPr>
          <w:p w14:paraId="59B66CF4" w14:textId="77777777" w:rsidR="006C4910" w:rsidRDefault="0065372D">
            <w:pPr>
              <w:keepNext/>
              <w:keepLines/>
              <w:spacing w:after="0" w:line="240" w:lineRule="auto"/>
              <w:jc w:val="right"/>
            </w:pPr>
            <w:r>
              <w:rPr>
                <w:sz w:val="18"/>
              </w:rPr>
              <w:t>22.196,56</w:t>
            </w:r>
          </w:p>
        </w:tc>
        <w:tc>
          <w:tcPr>
            <w:tcW w:w="1860" w:type="dxa"/>
            <w:tcMar>
              <w:top w:w="0" w:type="dxa"/>
              <w:bottom w:w="0" w:type="dxa"/>
            </w:tcMar>
            <w:vAlign w:val="center"/>
          </w:tcPr>
          <w:p w14:paraId="467EB311" w14:textId="77777777" w:rsidR="006C4910" w:rsidRDefault="0065372D">
            <w:pPr>
              <w:keepNext/>
              <w:keepLines/>
              <w:spacing w:after="0" w:line="240" w:lineRule="auto"/>
              <w:jc w:val="right"/>
            </w:pPr>
            <w:r>
              <w:rPr>
                <w:sz w:val="18"/>
              </w:rPr>
              <w:t>8.704,08</w:t>
            </w:r>
          </w:p>
        </w:tc>
        <w:tc>
          <w:tcPr>
            <w:tcW w:w="700" w:type="dxa"/>
            <w:tcMar>
              <w:top w:w="0" w:type="dxa"/>
              <w:bottom w:w="0" w:type="dxa"/>
            </w:tcMar>
            <w:vAlign w:val="center"/>
          </w:tcPr>
          <w:p w14:paraId="05A878A2" w14:textId="77777777" w:rsidR="006C4910" w:rsidRDefault="0065372D">
            <w:pPr>
              <w:keepNext/>
              <w:keepLines/>
              <w:spacing w:after="0" w:line="240" w:lineRule="auto"/>
              <w:jc w:val="right"/>
            </w:pPr>
            <w:r>
              <w:rPr>
                <w:sz w:val="18"/>
              </w:rPr>
              <w:t>39,2</w:t>
            </w:r>
          </w:p>
        </w:tc>
      </w:tr>
    </w:tbl>
    <w:p w14:paraId="4E2C3611" w14:textId="77777777" w:rsidR="006C4910" w:rsidRDefault="006C4910">
      <w:pPr>
        <w:spacing w:after="0"/>
      </w:pPr>
    </w:p>
    <w:p w14:paraId="11230C1C" w14:textId="77777777" w:rsidR="006C4910" w:rsidRDefault="0065372D">
      <w:r>
        <w:t>Za opremanje stanova za organizirano stanovanje žrtava obiteljskog nasilja nabavljen je namještaj i kućanski uređaji veće vrijednosti.</w:t>
      </w:r>
    </w:p>
    <w:p w14:paraId="08945129" w14:textId="77777777" w:rsidR="006C4910" w:rsidRDefault="006C4910"/>
    <w:p w14:paraId="3CFA5435" w14:textId="77777777" w:rsidR="006C4910" w:rsidRDefault="0065372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0A7FED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7D4593"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30DD0"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5D69B"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56BD50"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A9B16D"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089D1A" w14:textId="77777777" w:rsidR="006C4910" w:rsidRDefault="0065372D">
            <w:pPr>
              <w:keepNext/>
              <w:keepLines/>
              <w:spacing w:after="0" w:line="240" w:lineRule="auto"/>
              <w:jc w:val="center"/>
            </w:pPr>
            <w:r>
              <w:rPr>
                <w:b/>
                <w:sz w:val="18"/>
              </w:rPr>
              <w:t>Indeks (%)</w:t>
            </w:r>
          </w:p>
        </w:tc>
      </w:tr>
      <w:tr w:rsidR="006C4910" w14:paraId="79D336EA" w14:textId="77777777">
        <w:tblPrEx>
          <w:tblCellMar>
            <w:top w:w="0" w:type="dxa"/>
            <w:bottom w:w="0" w:type="dxa"/>
          </w:tblCellMar>
        </w:tblPrEx>
        <w:trPr>
          <w:cantSplit/>
          <w:trHeight w:val="560"/>
        </w:trPr>
        <w:tc>
          <w:tcPr>
            <w:tcW w:w="700" w:type="dxa"/>
            <w:tcMar>
              <w:top w:w="0" w:type="dxa"/>
              <w:bottom w:w="0" w:type="dxa"/>
            </w:tcMar>
            <w:vAlign w:val="center"/>
          </w:tcPr>
          <w:p w14:paraId="68D94923" w14:textId="77777777" w:rsidR="006C4910" w:rsidRDefault="0065372D">
            <w:pPr>
              <w:keepNext/>
              <w:keepLines/>
              <w:spacing w:after="0" w:line="240" w:lineRule="auto"/>
            </w:pPr>
            <w:r>
              <w:rPr>
                <w:sz w:val="18"/>
              </w:rPr>
              <w:t>4222</w:t>
            </w:r>
          </w:p>
        </w:tc>
        <w:tc>
          <w:tcPr>
            <w:tcW w:w="3180" w:type="dxa"/>
            <w:tcMar>
              <w:top w:w="0" w:type="dxa"/>
              <w:bottom w:w="0" w:type="dxa"/>
            </w:tcMar>
            <w:vAlign w:val="center"/>
          </w:tcPr>
          <w:p w14:paraId="72D7C231" w14:textId="77777777" w:rsidR="006C4910" w:rsidRDefault="0065372D">
            <w:pPr>
              <w:keepNext/>
              <w:keepLines/>
              <w:spacing w:after="0" w:line="240" w:lineRule="auto"/>
            </w:pPr>
            <w:r>
              <w:rPr>
                <w:sz w:val="18"/>
              </w:rPr>
              <w:t>Komunikacijska oprema</w:t>
            </w:r>
          </w:p>
        </w:tc>
        <w:tc>
          <w:tcPr>
            <w:tcW w:w="700" w:type="dxa"/>
            <w:tcMar>
              <w:top w:w="0" w:type="dxa"/>
              <w:bottom w:w="0" w:type="dxa"/>
            </w:tcMar>
            <w:vAlign w:val="center"/>
          </w:tcPr>
          <w:p w14:paraId="5A41C304" w14:textId="77777777" w:rsidR="006C4910" w:rsidRDefault="0065372D">
            <w:pPr>
              <w:keepNext/>
              <w:keepLines/>
              <w:spacing w:after="0" w:line="240" w:lineRule="auto"/>
            </w:pPr>
            <w:r>
              <w:rPr>
                <w:sz w:val="18"/>
              </w:rPr>
              <w:t>4222</w:t>
            </w:r>
          </w:p>
        </w:tc>
        <w:tc>
          <w:tcPr>
            <w:tcW w:w="1860" w:type="dxa"/>
            <w:tcMar>
              <w:top w:w="0" w:type="dxa"/>
              <w:bottom w:w="0" w:type="dxa"/>
            </w:tcMar>
            <w:vAlign w:val="center"/>
          </w:tcPr>
          <w:p w14:paraId="27E35BFA" w14:textId="77777777" w:rsidR="006C4910" w:rsidRDefault="0065372D">
            <w:pPr>
              <w:keepNext/>
              <w:keepLines/>
              <w:spacing w:after="0" w:line="240" w:lineRule="auto"/>
              <w:jc w:val="right"/>
            </w:pPr>
            <w:r>
              <w:rPr>
                <w:sz w:val="18"/>
              </w:rPr>
              <w:t>306,38</w:t>
            </w:r>
          </w:p>
        </w:tc>
        <w:tc>
          <w:tcPr>
            <w:tcW w:w="1860" w:type="dxa"/>
            <w:tcMar>
              <w:top w:w="0" w:type="dxa"/>
              <w:bottom w:w="0" w:type="dxa"/>
            </w:tcMar>
            <w:vAlign w:val="center"/>
          </w:tcPr>
          <w:p w14:paraId="584C5265" w14:textId="77777777" w:rsidR="006C4910" w:rsidRDefault="0065372D">
            <w:pPr>
              <w:keepNext/>
              <w:keepLines/>
              <w:spacing w:after="0" w:line="240" w:lineRule="auto"/>
              <w:jc w:val="right"/>
            </w:pPr>
            <w:r>
              <w:rPr>
                <w:sz w:val="18"/>
              </w:rPr>
              <w:t>1.299,90</w:t>
            </w:r>
          </w:p>
        </w:tc>
        <w:tc>
          <w:tcPr>
            <w:tcW w:w="700" w:type="dxa"/>
            <w:tcMar>
              <w:top w:w="0" w:type="dxa"/>
              <w:bottom w:w="0" w:type="dxa"/>
            </w:tcMar>
            <w:vAlign w:val="center"/>
          </w:tcPr>
          <w:p w14:paraId="0301DEF6" w14:textId="77777777" w:rsidR="006C4910" w:rsidRDefault="0065372D">
            <w:pPr>
              <w:keepNext/>
              <w:keepLines/>
              <w:spacing w:after="0" w:line="240" w:lineRule="auto"/>
              <w:jc w:val="right"/>
            </w:pPr>
            <w:r>
              <w:rPr>
                <w:sz w:val="18"/>
              </w:rPr>
              <w:t>424,3</w:t>
            </w:r>
          </w:p>
        </w:tc>
      </w:tr>
    </w:tbl>
    <w:p w14:paraId="36EEAE04" w14:textId="77777777" w:rsidR="006C4910" w:rsidRDefault="006C4910">
      <w:pPr>
        <w:spacing w:after="0"/>
      </w:pPr>
    </w:p>
    <w:p w14:paraId="7D96955C" w14:textId="77777777" w:rsidR="006C4910" w:rsidRDefault="0065372D">
      <w:r>
        <w:t>Iz sredstava donacije nabavljeni su novi TV uređaji za sobe u Domu kojima su zamijenjeni televizori nabavljeni prije više od 10 godina u vrijeme otvaranja Doma, te su nabavljeni TV uređaji za stanove za organizirano stanovanje.</w:t>
      </w:r>
    </w:p>
    <w:p w14:paraId="14ECD652" w14:textId="77777777" w:rsidR="006C4910" w:rsidRDefault="006C4910"/>
    <w:p w14:paraId="5CE6D0D8" w14:textId="77777777" w:rsidR="006C4910" w:rsidRDefault="0065372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244A0F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E6CC22"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31E9C7"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E23E54"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7DD77C"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C08803"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EBE5F" w14:textId="77777777" w:rsidR="006C4910" w:rsidRDefault="0065372D">
            <w:pPr>
              <w:keepNext/>
              <w:keepLines/>
              <w:spacing w:after="0" w:line="240" w:lineRule="auto"/>
              <w:jc w:val="center"/>
            </w:pPr>
            <w:r>
              <w:rPr>
                <w:b/>
                <w:sz w:val="18"/>
              </w:rPr>
              <w:t>Indeks (%)</w:t>
            </w:r>
          </w:p>
        </w:tc>
      </w:tr>
      <w:tr w:rsidR="006C4910" w14:paraId="528A78A1" w14:textId="77777777">
        <w:tblPrEx>
          <w:tblCellMar>
            <w:top w:w="0" w:type="dxa"/>
            <w:bottom w:w="0" w:type="dxa"/>
          </w:tblCellMar>
        </w:tblPrEx>
        <w:trPr>
          <w:cantSplit/>
          <w:trHeight w:val="560"/>
        </w:trPr>
        <w:tc>
          <w:tcPr>
            <w:tcW w:w="700" w:type="dxa"/>
            <w:tcMar>
              <w:top w:w="0" w:type="dxa"/>
              <w:bottom w:w="0" w:type="dxa"/>
            </w:tcMar>
            <w:vAlign w:val="center"/>
          </w:tcPr>
          <w:p w14:paraId="484E6FF7" w14:textId="77777777" w:rsidR="006C4910" w:rsidRDefault="0065372D">
            <w:pPr>
              <w:keepNext/>
              <w:keepLines/>
              <w:spacing w:after="0" w:line="240" w:lineRule="auto"/>
            </w:pPr>
            <w:r>
              <w:rPr>
                <w:sz w:val="18"/>
              </w:rPr>
              <w:t>426</w:t>
            </w:r>
          </w:p>
        </w:tc>
        <w:tc>
          <w:tcPr>
            <w:tcW w:w="3180" w:type="dxa"/>
            <w:tcMar>
              <w:top w:w="0" w:type="dxa"/>
              <w:bottom w:w="0" w:type="dxa"/>
            </w:tcMar>
            <w:vAlign w:val="center"/>
          </w:tcPr>
          <w:p w14:paraId="042A2DCD" w14:textId="77777777" w:rsidR="006C4910" w:rsidRDefault="0065372D">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612BC77F" w14:textId="77777777" w:rsidR="006C4910" w:rsidRDefault="0065372D">
            <w:pPr>
              <w:keepNext/>
              <w:keepLines/>
              <w:spacing w:after="0" w:line="240" w:lineRule="auto"/>
            </w:pPr>
            <w:r>
              <w:rPr>
                <w:sz w:val="18"/>
              </w:rPr>
              <w:t>426</w:t>
            </w:r>
          </w:p>
        </w:tc>
        <w:tc>
          <w:tcPr>
            <w:tcW w:w="1860" w:type="dxa"/>
            <w:tcMar>
              <w:top w:w="0" w:type="dxa"/>
              <w:bottom w:w="0" w:type="dxa"/>
            </w:tcMar>
            <w:vAlign w:val="center"/>
          </w:tcPr>
          <w:p w14:paraId="67912B8D"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4740A6F3" w14:textId="77777777" w:rsidR="006C4910" w:rsidRDefault="0065372D">
            <w:pPr>
              <w:keepNext/>
              <w:keepLines/>
              <w:spacing w:after="0" w:line="240" w:lineRule="auto"/>
              <w:jc w:val="right"/>
            </w:pPr>
            <w:r>
              <w:rPr>
                <w:sz w:val="18"/>
              </w:rPr>
              <w:t>26.300,00</w:t>
            </w:r>
          </w:p>
        </w:tc>
        <w:tc>
          <w:tcPr>
            <w:tcW w:w="700" w:type="dxa"/>
            <w:tcMar>
              <w:top w:w="0" w:type="dxa"/>
              <w:bottom w:w="0" w:type="dxa"/>
            </w:tcMar>
            <w:vAlign w:val="center"/>
          </w:tcPr>
          <w:p w14:paraId="1651933E" w14:textId="77777777" w:rsidR="006C4910" w:rsidRDefault="0065372D">
            <w:pPr>
              <w:keepNext/>
              <w:keepLines/>
              <w:spacing w:after="0" w:line="240" w:lineRule="auto"/>
              <w:jc w:val="right"/>
            </w:pPr>
            <w:r>
              <w:rPr>
                <w:sz w:val="18"/>
              </w:rPr>
              <w:t>-</w:t>
            </w:r>
          </w:p>
        </w:tc>
      </w:tr>
    </w:tbl>
    <w:p w14:paraId="2542A0CA" w14:textId="77777777" w:rsidR="006C4910" w:rsidRDefault="006C4910">
      <w:pPr>
        <w:spacing w:after="0"/>
      </w:pPr>
    </w:p>
    <w:p w14:paraId="081F393B" w14:textId="77777777" w:rsidR="006C4910" w:rsidRDefault="0065372D">
      <w:r>
        <w:lastRenderedPageBreak/>
        <w:t>U 2025. godini nabavljen programski sustav baze podataka koji objedinjuje sve odjele (smještaj, psihosocijalni tretman, savjetovalište i organizirano stanovanje) čime je zamijenjen stari sustav od prije 20 godina kako bi se mogao pratiti rad ustanove te izvještavati nadležno ministarstvo, kao i nadležni ured. Ujedno je izrađena nova internet stranica koja je prilagođena zakonskim zahtjevima o pristupačnosti i koja je zamijenila stranicu napravljenu prije 10 godina</w:t>
      </w:r>
    </w:p>
    <w:p w14:paraId="30E349BA" w14:textId="77777777" w:rsidR="006C4910" w:rsidRDefault="006C4910"/>
    <w:p w14:paraId="1A902E61" w14:textId="77777777" w:rsidR="006C4910" w:rsidRDefault="0065372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16D25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4FEF7E"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38DB7"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07043"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F7875"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9CEA3B"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D2CF72" w14:textId="77777777" w:rsidR="006C4910" w:rsidRDefault="0065372D">
            <w:pPr>
              <w:keepNext/>
              <w:keepLines/>
              <w:spacing w:after="0" w:line="240" w:lineRule="auto"/>
              <w:jc w:val="center"/>
            </w:pPr>
            <w:r>
              <w:rPr>
                <w:b/>
                <w:sz w:val="18"/>
              </w:rPr>
              <w:t>Indeks (%)</w:t>
            </w:r>
          </w:p>
        </w:tc>
      </w:tr>
      <w:tr w:rsidR="006C4910" w14:paraId="25A7C45B" w14:textId="77777777">
        <w:tblPrEx>
          <w:tblCellMar>
            <w:top w:w="0" w:type="dxa"/>
            <w:bottom w:w="0" w:type="dxa"/>
          </w:tblCellMar>
        </w:tblPrEx>
        <w:trPr>
          <w:cantSplit/>
          <w:trHeight w:val="560"/>
        </w:trPr>
        <w:tc>
          <w:tcPr>
            <w:tcW w:w="700" w:type="dxa"/>
            <w:tcMar>
              <w:top w:w="0" w:type="dxa"/>
              <w:bottom w:w="0" w:type="dxa"/>
            </w:tcMar>
            <w:vAlign w:val="center"/>
          </w:tcPr>
          <w:p w14:paraId="63466398" w14:textId="77777777" w:rsidR="006C4910" w:rsidRDefault="0065372D">
            <w:pPr>
              <w:keepNext/>
              <w:keepLines/>
              <w:spacing w:after="0" w:line="240" w:lineRule="auto"/>
            </w:pPr>
            <w:r>
              <w:rPr>
                <w:sz w:val="18"/>
              </w:rPr>
              <w:t>31214</w:t>
            </w:r>
          </w:p>
        </w:tc>
        <w:tc>
          <w:tcPr>
            <w:tcW w:w="3180" w:type="dxa"/>
            <w:tcMar>
              <w:top w:w="0" w:type="dxa"/>
              <w:bottom w:w="0" w:type="dxa"/>
            </w:tcMar>
            <w:vAlign w:val="center"/>
          </w:tcPr>
          <w:p w14:paraId="1E67A21A" w14:textId="77777777" w:rsidR="006C4910" w:rsidRDefault="0065372D">
            <w:pPr>
              <w:keepNext/>
              <w:keepLines/>
              <w:spacing w:after="0" w:line="240" w:lineRule="auto"/>
            </w:pPr>
            <w:r>
              <w:rPr>
                <w:sz w:val="18"/>
              </w:rPr>
              <w:t>Otpremnine</w:t>
            </w:r>
          </w:p>
        </w:tc>
        <w:tc>
          <w:tcPr>
            <w:tcW w:w="700" w:type="dxa"/>
            <w:tcMar>
              <w:top w:w="0" w:type="dxa"/>
              <w:bottom w:w="0" w:type="dxa"/>
            </w:tcMar>
            <w:vAlign w:val="center"/>
          </w:tcPr>
          <w:p w14:paraId="08C277CC" w14:textId="77777777" w:rsidR="006C4910" w:rsidRDefault="0065372D">
            <w:pPr>
              <w:keepNext/>
              <w:keepLines/>
              <w:spacing w:after="0" w:line="240" w:lineRule="auto"/>
            </w:pPr>
            <w:r>
              <w:rPr>
                <w:sz w:val="18"/>
              </w:rPr>
              <w:t>31214</w:t>
            </w:r>
          </w:p>
        </w:tc>
        <w:tc>
          <w:tcPr>
            <w:tcW w:w="1860" w:type="dxa"/>
            <w:tcMar>
              <w:top w:w="0" w:type="dxa"/>
              <w:bottom w:w="0" w:type="dxa"/>
            </w:tcMar>
            <w:vAlign w:val="center"/>
          </w:tcPr>
          <w:p w14:paraId="277A7100" w14:textId="77777777" w:rsidR="006C4910" w:rsidRDefault="0065372D">
            <w:pPr>
              <w:keepNext/>
              <w:keepLines/>
              <w:spacing w:after="0" w:line="240" w:lineRule="auto"/>
              <w:jc w:val="right"/>
            </w:pPr>
            <w:r>
              <w:rPr>
                <w:sz w:val="18"/>
              </w:rPr>
              <w:t>0,00</w:t>
            </w:r>
          </w:p>
        </w:tc>
        <w:tc>
          <w:tcPr>
            <w:tcW w:w="1860" w:type="dxa"/>
            <w:tcMar>
              <w:top w:w="0" w:type="dxa"/>
              <w:bottom w:w="0" w:type="dxa"/>
            </w:tcMar>
            <w:vAlign w:val="center"/>
          </w:tcPr>
          <w:p w14:paraId="1F4DE711" w14:textId="77777777" w:rsidR="006C4910" w:rsidRDefault="0065372D">
            <w:pPr>
              <w:keepNext/>
              <w:keepLines/>
              <w:spacing w:after="0" w:line="240" w:lineRule="auto"/>
              <w:jc w:val="right"/>
            </w:pPr>
            <w:r>
              <w:rPr>
                <w:sz w:val="18"/>
              </w:rPr>
              <w:t>6.958,62</w:t>
            </w:r>
          </w:p>
        </w:tc>
        <w:tc>
          <w:tcPr>
            <w:tcW w:w="700" w:type="dxa"/>
            <w:tcMar>
              <w:top w:w="0" w:type="dxa"/>
              <w:bottom w:w="0" w:type="dxa"/>
            </w:tcMar>
            <w:vAlign w:val="center"/>
          </w:tcPr>
          <w:p w14:paraId="0AA63765" w14:textId="77777777" w:rsidR="006C4910" w:rsidRDefault="0065372D">
            <w:pPr>
              <w:keepNext/>
              <w:keepLines/>
              <w:spacing w:after="0" w:line="240" w:lineRule="auto"/>
              <w:jc w:val="right"/>
            </w:pPr>
            <w:r>
              <w:rPr>
                <w:sz w:val="18"/>
              </w:rPr>
              <w:t>-</w:t>
            </w:r>
          </w:p>
        </w:tc>
      </w:tr>
    </w:tbl>
    <w:p w14:paraId="3024A669" w14:textId="77777777" w:rsidR="006C4910" w:rsidRDefault="006C4910">
      <w:pPr>
        <w:spacing w:after="0"/>
      </w:pPr>
    </w:p>
    <w:p w14:paraId="0910CB56" w14:textId="77777777" w:rsidR="006C4910" w:rsidRDefault="0065372D">
      <w:r>
        <w:t>Zbog odlaska u mirovinu, isplaćena je otpremnina zaposlenici,</w:t>
      </w:r>
    </w:p>
    <w:p w14:paraId="645556C4" w14:textId="77777777" w:rsidR="006C4910" w:rsidRDefault="006C4910"/>
    <w:p w14:paraId="38EE83B5" w14:textId="77777777" w:rsidR="006C4910" w:rsidRDefault="0065372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7561CE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3F7CD0"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A40B08"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8191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F7191D" w14:textId="77777777" w:rsidR="006C4910" w:rsidRDefault="0065372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8B4940" w14:textId="77777777" w:rsidR="006C4910" w:rsidRDefault="0065372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85DC50" w14:textId="77777777" w:rsidR="006C4910" w:rsidRDefault="0065372D">
            <w:pPr>
              <w:keepNext/>
              <w:keepLines/>
              <w:spacing w:after="0" w:line="240" w:lineRule="auto"/>
              <w:jc w:val="center"/>
            </w:pPr>
            <w:r>
              <w:rPr>
                <w:b/>
                <w:sz w:val="18"/>
              </w:rPr>
              <w:t>Indeks (%)</w:t>
            </w:r>
          </w:p>
        </w:tc>
      </w:tr>
      <w:tr w:rsidR="006C4910" w14:paraId="41C4D33C" w14:textId="77777777">
        <w:tblPrEx>
          <w:tblCellMar>
            <w:top w:w="0" w:type="dxa"/>
            <w:bottom w:w="0" w:type="dxa"/>
          </w:tblCellMar>
        </w:tblPrEx>
        <w:trPr>
          <w:cantSplit/>
          <w:trHeight w:val="560"/>
        </w:trPr>
        <w:tc>
          <w:tcPr>
            <w:tcW w:w="700" w:type="dxa"/>
            <w:tcMar>
              <w:top w:w="0" w:type="dxa"/>
              <w:bottom w:w="0" w:type="dxa"/>
            </w:tcMar>
            <w:vAlign w:val="center"/>
          </w:tcPr>
          <w:p w14:paraId="443C758B" w14:textId="77777777" w:rsidR="006C4910" w:rsidRDefault="0065372D">
            <w:pPr>
              <w:keepNext/>
              <w:keepLines/>
              <w:spacing w:after="0" w:line="240" w:lineRule="auto"/>
            </w:pPr>
            <w:r>
              <w:rPr>
                <w:sz w:val="18"/>
              </w:rPr>
              <w:t>32361</w:t>
            </w:r>
          </w:p>
        </w:tc>
        <w:tc>
          <w:tcPr>
            <w:tcW w:w="3180" w:type="dxa"/>
            <w:tcMar>
              <w:top w:w="0" w:type="dxa"/>
              <w:bottom w:w="0" w:type="dxa"/>
            </w:tcMar>
            <w:vAlign w:val="center"/>
          </w:tcPr>
          <w:p w14:paraId="5E763C5F" w14:textId="77777777" w:rsidR="006C4910" w:rsidRDefault="0065372D">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78F6F168" w14:textId="77777777" w:rsidR="006C4910" w:rsidRDefault="0065372D">
            <w:pPr>
              <w:keepNext/>
              <w:keepLines/>
              <w:spacing w:after="0" w:line="240" w:lineRule="auto"/>
            </w:pPr>
            <w:r>
              <w:rPr>
                <w:sz w:val="18"/>
              </w:rPr>
              <w:t>32361</w:t>
            </w:r>
          </w:p>
        </w:tc>
        <w:tc>
          <w:tcPr>
            <w:tcW w:w="1860" w:type="dxa"/>
            <w:tcMar>
              <w:top w:w="0" w:type="dxa"/>
              <w:bottom w:w="0" w:type="dxa"/>
            </w:tcMar>
            <w:vAlign w:val="center"/>
          </w:tcPr>
          <w:p w14:paraId="34982E60" w14:textId="77777777" w:rsidR="006C4910" w:rsidRDefault="0065372D">
            <w:pPr>
              <w:keepNext/>
              <w:keepLines/>
              <w:spacing w:after="0" w:line="240" w:lineRule="auto"/>
              <w:jc w:val="right"/>
            </w:pPr>
            <w:r>
              <w:rPr>
                <w:sz w:val="18"/>
              </w:rPr>
              <w:t>4.994,72</w:t>
            </w:r>
          </w:p>
        </w:tc>
        <w:tc>
          <w:tcPr>
            <w:tcW w:w="1860" w:type="dxa"/>
            <w:tcMar>
              <w:top w:w="0" w:type="dxa"/>
              <w:bottom w:w="0" w:type="dxa"/>
            </w:tcMar>
            <w:vAlign w:val="center"/>
          </w:tcPr>
          <w:p w14:paraId="4D37DBA3" w14:textId="77777777" w:rsidR="006C4910" w:rsidRDefault="0065372D">
            <w:pPr>
              <w:keepNext/>
              <w:keepLines/>
              <w:spacing w:after="0" w:line="240" w:lineRule="auto"/>
              <w:jc w:val="right"/>
            </w:pPr>
            <w:r>
              <w:rPr>
                <w:sz w:val="18"/>
              </w:rPr>
              <w:t>7.595,70</w:t>
            </w:r>
          </w:p>
        </w:tc>
        <w:tc>
          <w:tcPr>
            <w:tcW w:w="700" w:type="dxa"/>
            <w:tcMar>
              <w:top w:w="0" w:type="dxa"/>
              <w:bottom w:w="0" w:type="dxa"/>
            </w:tcMar>
            <w:vAlign w:val="center"/>
          </w:tcPr>
          <w:p w14:paraId="72F1CFFB" w14:textId="77777777" w:rsidR="006C4910" w:rsidRDefault="0065372D">
            <w:pPr>
              <w:keepNext/>
              <w:keepLines/>
              <w:spacing w:after="0" w:line="240" w:lineRule="auto"/>
              <w:jc w:val="right"/>
            </w:pPr>
            <w:r>
              <w:rPr>
                <w:sz w:val="18"/>
              </w:rPr>
              <w:t>152,1</w:t>
            </w:r>
          </w:p>
        </w:tc>
      </w:tr>
    </w:tbl>
    <w:p w14:paraId="36E872CC" w14:textId="77777777" w:rsidR="006C4910" w:rsidRDefault="006C4910">
      <w:pPr>
        <w:spacing w:after="0"/>
      </w:pPr>
    </w:p>
    <w:p w14:paraId="0E88D953" w14:textId="77777777" w:rsidR="006C4910" w:rsidRDefault="0065372D">
      <w:r>
        <w:t>U 2025. godini ugovoreni su detaljniji sistematski pregledi zaposlenika.</w:t>
      </w:r>
    </w:p>
    <w:p w14:paraId="3305F721" w14:textId="77777777" w:rsidR="006C4910" w:rsidRDefault="006C4910"/>
    <w:p w14:paraId="06E68CC0" w14:textId="77777777" w:rsidR="006C4910" w:rsidRDefault="0065372D">
      <w:pPr>
        <w:keepNext/>
        <w:spacing w:line="240" w:lineRule="auto"/>
        <w:jc w:val="center"/>
      </w:pPr>
      <w:r>
        <w:rPr>
          <w:b/>
          <w:sz w:val="28"/>
        </w:rPr>
        <w:t>Bilanca</w:t>
      </w:r>
    </w:p>
    <w:p w14:paraId="55B25A78" w14:textId="77777777" w:rsidR="006C4910" w:rsidRDefault="0065372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572759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459AB1"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4C3DC3"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EA23ED"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711CE1"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6DBF27"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4B05B9" w14:textId="77777777" w:rsidR="006C4910" w:rsidRDefault="0065372D">
            <w:pPr>
              <w:keepNext/>
              <w:keepLines/>
              <w:spacing w:after="0" w:line="240" w:lineRule="auto"/>
              <w:jc w:val="center"/>
            </w:pPr>
            <w:r>
              <w:rPr>
                <w:b/>
                <w:sz w:val="18"/>
              </w:rPr>
              <w:t>Indeks (%)</w:t>
            </w:r>
          </w:p>
        </w:tc>
      </w:tr>
      <w:tr w:rsidR="006C4910" w14:paraId="6EA78BEC" w14:textId="77777777">
        <w:tblPrEx>
          <w:tblCellMar>
            <w:top w:w="0" w:type="dxa"/>
            <w:bottom w:w="0" w:type="dxa"/>
          </w:tblCellMar>
        </w:tblPrEx>
        <w:trPr>
          <w:cantSplit/>
          <w:trHeight w:val="560"/>
        </w:trPr>
        <w:tc>
          <w:tcPr>
            <w:tcW w:w="700" w:type="dxa"/>
            <w:tcMar>
              <w:top w:w="0" w:type="dxa"/>
              <w:bottom w:w="0" w:type="dxa"/>
            </w:tcMar>
            <w:vAlign w:val="center"/>
          </w:tcPr>
          <w:p w14:paraId="1BAC23C0" w14:textId="77777777" w:rsidR="006C4910" w:rsidRDefault="0065372D">
            <w:pPr>
              <w:keepNext/>
              <w:keepLines/>
              <w:spacing w:after="0" w:line="240" w:lineRule="auto"/>
            </w:pPr>
            <w:r>
              <w:rPr>
                <w:sz w:val="18"/>
              </w:rPr>
              <w:t>0227</w:t>
            </w:r>
          </w:p>
        </w:tc>
        <w:tc>
          <w:tcPr>
            <w:tcW w:w="3180" w:type="dxa"/>
            <w:tcMar>
              <w:top w:w="0" w:type="dxa"/>
              <w:bottom w:w="0" w:type="dxa"/>
            </w:tcMar>
            <w:vAlign w:val="center"/>
          </w:tcPr>
          <w:p w14:paraId="35E44B47" w14:textId="77777777" w:rsidR="006C4910" w:rsidRDefault="0065372D">
            <w:pPr>
              <w:keepNext/>
              <w:keepLines/>
              <w:spacing w:after="0" w:line="240" w:lineRule="auto"/>
            </w:pPr>
            <w:r>
              <w:rPr>
                <w:sz w:val="18"/>
              </w:rPr>
              <w:t>Uređaji, strojevi i oprema za ostale namjene</w:t>
            </w:r>
          </w:p>
        </w:tc>
        <w:tc>
          <w:tcPr>
            <w:tcW w:w="700" w:type="dxa"/>
            <w:tcMar>
              <w:top w:w="0" w:type="dxa"/>
              <w:bottom w:w="0" w:type="dxa"/>
            </w:tcMar>
            <w:vAlign w:val="center"/>
          </w:tcPr>
          <w:p w14:paraId="1228A40F" w14:textId="77777777" w:rsidR="006C4910" w:rsidRDefault="0065372D">
            <w:pPr>
              <w:keepNext/>
              <w:keepLines/>
              <w:spacing w:after="0" w:line="240" w:lineRule="auto"/>
            </w:pPr>
            <w:r>
              <w:rPr>
                <w:sz w:val="18"/>
              </w:rPr>
              <w:t>0227</w:t>
            </w:r>
          </w:p>
        </w:tc>
        <w:tc>
          <w:tcPr>
            <w:tcW w:w="1860" w:type="dxa"/>
            <w:tcMar>
              <w:top w:w="0" w:type="dxa"/>
              <w:bottom w:w="0" w:type="dxa"/>
            </w:tcMar>
            <w:vAlign w:val="center"/>
          </w:tcPr>
          <w:p w14:paraId="3C2A8EF1" w14:textId="77777777" w:rsidR="006C4910" w:rsidRDefault="0065372D">
            <w:pPr>
              <w:keepNext/>
              <w:keepLines/>
              <w:spacing w:after="0" w:line="240" w:lineRule="auto"/>
              <w:jc w:val="right"/>
            </w:pPr>
            <w:r>
              <w:rPr>
                <w:sz w:val="18"/>
              </w:rPr>
              <w:t>3.924,18</w:t>
            </w:r>
          </w:p>
        </w:tc>
        <w:tc>
          <w:tcPr>
            <w:tcW w:w="1860" w:type="dxa"/>
            <w:tcMar>
              <w:top w:w="0" w:type="dxa"/>
              <w:bottom w:w="0" w:type="dxa"/>
            </w:tcMar>
            <w:vAlign w:val="center"/>
          </w:tcPr>
          <w:p w14:paraId="47BA95EE" w14:textId="77777777" w:rsidR="006C4910" w:rsidRDefault="0065372D">
            <w:pPr>
              <w:keepNext/>
              <w:keepLines/>
              <w:spacing w:after="0" w:line="240" w:lineRule="auto"/>
              <w:jc w:val="right"/>
            </w:pPr>
            <w:r>
              <w:rPr>
                <w:sz w:val="18"/>
              </w:rPr>
              <w:t>6.695,12</w:t>
            </w:r>
          </w:p>
        </w:tc>
        <w:tc>
          <w:tcPr>
            <w:tcW w:w="700" w:type="dxa"/>
            <w:tcMar>
              <w:top w:w="0" w:type="dxa"/>
              <w:bottom w:w="0" w:type="dxa"/>
            </w:tcMar>
            <w:vAlign w:val="center"/>
          </w:tcPr>
          <w:p w14:paraId="5C16B841" w14:textId="77777777" w:rsidR="006C4910" w:rsidRDefault="0065372D">
            <w:pPr>
              <w:keepNext/>
              <w:keepLines/>
              <w:spacing w:after="0" w:line="240" w:lineRule="auto"/>
              <w:jc w:val="right"/>
            </w:pPr>
            <w:r>
              <w:rPr>
                <w:sz w:val="18"/>
              </w:rPr>
              <w:t>170,6</w:t>
            </w:r>
          </w:p>
        </w:tc>
      </w:tr>
    </w:tbl>
    <w:p w14:paraId="2CAFD5AC" w14:textId="77777777" w:rsidR="006C4910" w:rsidRDefault="006C4910">
      <w:pPr>
        <w:spacing w:after="0"/>
      </w:pPr>
    </w:p>
    <w:p w14:paraId="70A4E18D" w14:textId="77777777" w:rsidR="006C4910" w:rsidRDefault="0065372D">
      <w:r>
        <w:t xml:space="preserve">Kod opremanja stanova za organizirano stanovanje nabavljena je dugotrajna oprema čime je </w:t>
      </w:r>
      <w:proofErr w:type="spellStart"/>
      <w:r>
        <w:t>povaćana</w:t>
      </w:r>
      <w:proofErr w:type="spellEnd"/>
      <w:r>
        <w:t xml:space="preserve"> vrijednost osnovnih sredstava Ustanove.</w:t>
      </w:r>
    </w:p>
    <w:p w14:paraId="006DD5AA" w14:textId="77777777" w:rsidR="006C4910" w:rsidRDefault="006C4910"/>
    <w:p w14:paraId="10AA7C8E" w14:textId="77777777" w:rsidR="006C4910" w:rsidRDefault="0065372D">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46340D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7903FD"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9AF349"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742F2D"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2D4B2"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E69A8A"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C36CDC" w14:textId="77777777" w:rsidR="006C4910" w:rsidRDefault="0065372D">
            <w:pPr>
              <w:keepNext/>
              <w:keepLines/>
              <w:spacing w:after="0" w:line="240" w:lineRule="auto"/>
              <w:jc w:val="center"/>
            </w:pPr>
            <w:r>
              <w:rPr>
                <w:b/>
                <w:sz w:val="18"/>
              </w:rPr>
              <w:t>Indeks (%)</w:t>
            </w:r>
          </w:p>
        </w:tc>
      </w:tr>
      <w:tr w:rsidR="006C4910" w14:paraId="48F47B7A" w14:textId="77777777">
        <w:tblPrEx>
          <w:tblCellMar>
            <w:top w:w="0" w:type="dxa"/>
            <w:bottom w:w="0" w:type="dxa"/>
          </w:tblCellMar>
        </w:tblPrEx>
        <w:trPr>
          <w:cantSplit/>
          <w:trHeight w:val="560"/>
        </w:trPr>
        <w:tc>
          <w:tcPr>
            <w:tcW w:w="700" w:type="dxa"/>
            <w:tcMar>
              <w:top w:w="0" w:type="dxa"/>
              <w:bottom w:w="0" w:type="dxa"/>
            </w:tcMar>
            <w:vAlign w:val="center"/>
          </w:tcPr>
          <w:p w14:paraId="5600C383" w14:textId="77777777" w:rsidR="006C4910" w:rsidRDefault="0065372D">
            <w:pPr>
              <w:keepNext/>
              <w:keepLines/>
              <w:spacing w:after="0" w:line="240" w:lineRule="auto"/>
            </w:pPr>
            <w:r>
              <w:rPr>
                <w:sz w:val="18"/>
              </w:rPr>
              <w:t>0262</w:t>
            </w:r>
          </w:p>
        </w:tc>
        <w:tc>
          <w:tcPr>
            <w:tcW w:w="3180" w:type="dxa"/>
            <w:tcMar>
              <w:top w:w="0" w:type="dxa"/>
              <w:bottom w:w="0" w:type="dxa"/>
            </w:tcMar>
            <w:vAlign w:val="center"/>
          </w:tcPr>
          <w:p w14:paraId="765951FA" w14:textId="77777777" w:rsidR="006C4910" w:rsidRDefault="0065372D">
            <w:pPr>
              <w:keepNext/>
              <w:keepLines/>
              <w:spacing w:after="0" w:line="240" w:lineRule="auto"/>
            </w:pPr>
            <w:r>
              <w:rPr>
                <w:sz w:val="18"/>
              </w:rPr>
              <w:t>Ulaganja u računalne programe</w:t>
            </w:r>
          </w:p>
        </w:tc>
        <w:tc>
          <w:tcPr>
            <w:tcW w:w="700" w:type="dxa"/>
            <w:tcMar>
              <w:top w:w="0" w:type="dxa"/>
              <w:bottom w:w="0" w:type="dxa"/>
            </w:tcMar>
            <w:vAlign w:val="center"/>
          </w:tcPr>
          <w:p w14:paraId="5BAAD868" w14:textId="77777777" w:rsidR="006C4910" w:rsidRDefault="0065372D">
            <w:pPr>
              <w:keepNext/>
              <w:keepLines/>
              <w:spacing w:after="0" w:line="240" w:lineRule="auto"/>
            </w:pPr>
            <w:r>
              <w:rPr>
                <w:sz w:val="18"/>
              </w:rPr>
              <w:t>0262</w:t>
            </w:r>
          </w:p>
        </w:tc>
        <w:tc>
          <w:tcPr>
            <w:tcW w:w="1860" w:type="dxa"/>
            <w:tcMar>
              <w:top w:w="0" w:type="dxa"/>
              <w:bottom w:w="0" w:type="dxa"/>
            </w:tcMar>
            <w:vAlign w:val="center"/>
          </w:tcPr>
          <w:p w14:paraId="443CFFE6" w14:textId="77777777" w:rsidR="006C4910" w:rsidRDefault="0065372D">
            <w:pPr>
              <w:keepNext/>
              <w:keepLines/>
              <w:spacing w:after="0" w:line="240" w:lineRule="auto"/>
              <w:jc w:val="right"/>
            </w:pPr>
            <w:r>
              <w:rPr>
                <w:sz w:val="18"/>
              </w:rPr>
              <w:t>7.338,11</w:t>
            </w:r>
          </w:p>
        </w:tc>
        <w:tc>
          <w:tcPr>
            <w:tcW w:w="1860" w:type="dxa"/>
            <w:tcMar>
              <w:top w:w="0" w:type="dxa"/>
              <w:bottom w:w="0" w:type="dxa"/>
            </w:tcMar>
            <w:vAlign w:val="center"/>
          </w:tcPr>
          <w:p w14:paraId="7331E687" w14:textId="77777777" w:rsidR="006C4910" w:rsidRDefault="0065372D">
            <w:pPr>
              <w:keepNext/>
              <w:keepLines/>
              <w:spacing w:after="0" w:line="240" w:lineRule="auto"/>
              <w:jc w:val="right"/>
            </w:pPr>
            <w:r>
              <w:rPr>
                <w:sz w:val="18"/>
              </w:rPr>
              <w:t>26.931,50</w:t>
            </w:r>
          </w:p>
        </w:tc>
        <w:tc>
          <w:tcPr>
            <w:tcW w:w="700" w:type="dxa"/>
            <w:tcMar>
              <w:top w:w="0" w:type="dxa"/>
              <w:bottom w:w="0" w:type="dxa"/>
            </w:tcMar>
            <w:vAlign w:val="center"/>
          </w:tcPr>
          <w:p w14:paraId="5C65D04A" w14:textId="77777777" w:rsidR="006C4910" w:rsidRDefault="0065372D">
            <w:pPr>
              <w:keepNext/>
              <w:keepLines/>
              <w:spacing w:after="0" w:line="240" w:lineRule="auto"/>
              <w:jc w:val="right"/>
            </w:pPr>
            <w:r>
              <w:rPr>
                <w:sz w:val="18"/>
              </w:rPr>
              <w:t>367,0</w:t>
            </w:r>
          </w:p>
        </w:tc>
      </w:tr>
    </w:tbl>
    <w:p w14:paraId="6631D3EE" w14:textId="77777777" w:rsidR="006C4910" w:rsidRDefault="006C4910">
      <w:pPr>
        <w:spacing w:after="0"/>
      </w:pPr>
    </w:p>
    <w:p w14:paraId="209C3EC9" w14:textId="77777777" w:rsidR="006C4910" w:rsidRDefault="0065372D">
      <w:r>
        <w:t>U 2025. godini nabavljen programski sustav baze podataka koji objedinjuje sve odjele (smještaj, psihosocijalni tretman, savjetovalište i organizirano stanovanje) čime je zamijenjen stari sustav od prije 20 godina kako bi se mogao pratiti rad ustanove te izvještavati nadležno ministarstvo, kao i nadležni ured. Web stranica izrađena prije 10 godina zamijenjena je novom web stranicom.</w:t>
      </w:r>
    </w:p>
    <w:p w14:paraId="25215906" w14:textId="77777777" w:rsidR="006C4910" w:rsidRDefault="006C4910"/>
    <w:p w14:paraId="0B60F0E8" w14:textId="77777777" w:rsidR="006C4910" w:rsidRDefault="0065372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3A5FDC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6B0D3"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BA5F81"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EE8AF7"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55FAED"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881DBA"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E95B49" w14:textId="77777777" w:rsidR="006C4910" w:rsidRDefault="0065372D">
            <w:pPr>
              <w:keepNext/>
              <w:keepLines/>
              <w:spacing w:after="0" w:line="240" w:lineRule="auto"/>
              <w:jc w:val="center"/>
            </w:pPr>
            <w:r>
              <w:rPr>
                <w:b/>
                <w:sz w:val="18"/>
              </w:rPr>
              <w:t>Indeks (%)</w:t>
            </w:r>
          </w:p>
        </w:tc>
      </w:tr>
      <w:tr w:rsidR="006C4910" w14:paraId="23173C4E" w14:textId="77777777">
        <w:tblPrEx>
          <w:tblCellMar>
            <w:top w:w="0" w:type="dxa"/>
            <w:bottom w:w="0" w:type="dxa"/>
          </w:tblCellMar>
        </w:tblPrEx>
        <w:trPr>
          <w:cantSplit/>
          <w:trHeight w:val="560"/>
        </w:trPr>
        <w:tc>
          <w:tcPr>
            <w:tcW w:w="700" w:type="dxa"/>
            <w:tcMar>
              <w:top w:w="0" w:type="dxa"/>
              <w:bottom w:w="0" w:type="dxa"/>
            </w:tcMar>
            <w:vAlign w:val="center"/>
          </w:tcPr>
          <w:p w14:paraId="0AAC69E4" w14:textId="77777777" w:rsidR="006C4910" w:rsidRDefault="0065372D">
            <w:pPr>
              <w:keepNext/>
              <w:keepLines/>
              <w:spacing w:after="0" w:line="240" w:lineRule="auto"/>
            </w:pPr>
            <w:r>
              <w:rPr>
                <w:sz w:val="18"/>
              </w:rPr>
              <w:t>129</w:t>
            </w:r>
          </w:p>
        </w:tc>
        <w:tc>
          <w:tcPr>
            <w:tcW w:w="3180" w:type="dxa"/>
            <w:tcMar>
              <w:top w:w="0" w:type="dxa"/>
              <w:bottom w:w="0" w:type="dxa"/>
            </w:tcMar>
            <w:vAlign w:val="center"/>
          </w:tcPr>
          <w:p w14:paraId="1366FCDD" w14:textId="77777777" w:rsidR="006C4910" w:rsidRDefault="0065372D">
            <w:pPr>
              <w:keepNext/>
              <w:keepLines/>
              <w:spacing w:after="0" w:line="240" w:lineRule="auto"/>
            </w:pPr>
            <w:r>
              <w:rPr>
                <w:sz w:val="18"/>
              </w:rPr>
              <w:t>Ostala potraživanja</w:t>
            </w:r>
          </w:p>
        </w:tc>
        <w:tc>
          <w:tcPr>
            <w:tcW w:w="700" w:type="dxa"/>
            <w:tcMar>
              <w:top w:w="0" w:type="dxa"/>
              <w:bottom w:w="0" w:type="dxa"/>
            </w:tcMar>
            <w:vAlign w:val="center"/>
          </w:tcPr>
          <w:p w14:paraId="70FF6421" w14:textId="77777777" w:rsidR="006C4910" w:rsidRDefault="0065372D">
            <w:pPr>
              <w:keepNext/>
              <w:keepLines/>
              <w:spacing w:after="0" w:line="240" w:lineRule="auto"/>
            </w:pPr>
            <w:r>
              <w:rPr>
                <w:sz w:val="18"/>
              </w:rPr>
              <w:t>129</w:t>
            </w:r>
          </w:p>
        </w:tc>
        <w:tc>
          <w:tcPr>
            <w:tcW w:w="1860" w:type="dxa"/>
            <w:tcMar>
              <w:top w:w="0" w:type="dxa"/>
              <w:bottom w:w="0" w:type="dxa"/>
            </w:tcMar>
            <w:vAlign w:val="center"/>
          </w:tcPr>
          <w:p w14:paraId="10B12886" w14:textId="77777777" w:rsidR="006C4910" w:rsidRDefault="0065372D">
            <w:pPr>
              <w:keepNext/>
              <w:keepLines/>
              <w:spacing w:after="0" w:line="240" w:lineRule="auto"/>
              <w:jc w:val="right"/>
            </w:pPr>
            <w:r>
              <w:rPr>
                <w:sz w:val="18"/>
              </w:rPr>
              <w:t>3.192,89</w:t>
            </w:r>
          </w:p>
        </w:tc>
        <w:tc>
          <w:tcPr>
            <w:tcW w:w="1860" w:type="dxa"/>
            <w:tcMar>
              <w:top w:w="0" w:type="dxa"/>
              <w:bottom w:w="0" w:type="dxa"/>
            </w:tcMar>
            <w:vAlign w:val="center"/>
          </w:tcPr>
          <w:p w14:paraId="776C4AC2" w14:textId="77777777" w:rsidR="006C4910" w:rsidRDefault="0065372D">
            <w:pPr>
              <w:keepNext/>
              <w:keepLines/>
              <w:spacing w:after="0" w:line="240" w:lineRule="auto"/>
              <w:jc w:val="right"/>
            </w:pPr>
            <w:r>
              <w:rPr>
                <w:sz w:val="18"/>
              </w:rPr>
              <w:t>6.778,43</w:t>
            </w:r>
          </w:p>
        </w:tc>
        <w:tc>
          <w:tcPr>
            <w:tcW w:w="700" w:type="dxa"/>
            <w:tcMar>
              <w:top w:w="0" w:type="dxa"/>
              <w:bottom w:w="0" w:type="dxa"/>
            </w:tcMar>
            <w:vAlign w:val="center"/>
          </w:tcPr>
          <w:p w14:paraId="107CE985" w14:textId="77777777" w:rsidR="006C4910" w:rsidRDefault="0065372D">
            <w:pPr>
              <w:keepNext/>
              <w:keepLines/>
              <w:spacing w:after="0" w:line="240" w:lineRule="auto"/>
              <w:jc w:val="right"/>
            </w:pPr>
            <w:r>
              <w:rPr>
                <w:sz w:val="18"/>
              </w:rPr>
              <w:t>212,3</w:t>
            </w:r>
          </w:p>
        </w:tc>
      </w:tr>
    </w:tbl>
    <w:p w14:paraId="4D713D86" w14:textId="77777777" w:rsidR="006C4910" w:rsidRDefault="006C4910">
      <w:pPr>
        <w:spacing w:after="0"/>
      </w:pPr>
    </w:p>
    <w:p w14:paraId="0C521892" w14:textId="77777777" w:rsidR="006C4910" w:rsidRDefault="0065372D">
      <w:r>
        <w:t>Plaćene su rane kotizacije za konferenciju koja će se održati u 2026. godini te smještaj za zaposlenice koje idu na konferenciju. Krajem 2025. godine su 2 osobe bile na dugotrajnom bolovanju i dodatno su zaposlenice su bile na bolovanju zbog njege djeteta, očekuje se povrat sredstava od HZZO-a početkom 2026. godine.</w:t>
      </w:r>
    </w:p>
    <w:p w14:paraId="4485592D" w14:textId="77777777" w:rsidR="006C4910" w:rsidRDefault="006C4910"/>
    <w:p w14:paraId="4ABAFFC5" w14:textId="77777777" w:rsidR="006C4910" w:rsidRDefault="0065372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1E2B3C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2FC0A"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BBCC72"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F0FD3"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2EFD67"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BC1389"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D4654AD" w14:textId="77777777" w:rsidR="006C4910" w:rsidRDefault="0065372D">
            <w:pPr>
              <w:keepNext/>
              <w:keepLines/>
              <w:spacing w:after="0" w:line="240" w:lineRule="auto"/>
              <w:jc w:val="center"/>
            </w:pPr>
            <w:r>
              <w:rPr>
                <w:b/>
                <w:sz w:val="18"/>
              </w:rPr>
              <w:t>Indeks (%)</w:t>
            </w:r>
          </w:p>
        </w:tc>
      </w:tr>
      <w:tr w:rsidR="006C4910" w14:paraId="4CF9D33F" w14:textId="77777777">
        <w:tblPrEx>
          <w:tblCellMar>
            <w:top w:w="0" w:type="dxa"/>
            <w:bottom w:w="0" w:type="dxa"/>
          </w:tblCellMar>
        </w:tblPrEx>
        <w:trPr>
          <w:cantSplit/>
          <w:trHeight w:val="560"/>
        </w:trPr>
        <w:tc>
          <w:tcPr>
            <w:tcW w:w="700" w:type="dxa"/>
            <w:tcMar>
              <w:top w:w="0" w:type="dxa"/>
              <w:bottom w:w="0" w:type="dxa"/>
            </w:tcMar>
            <w:vAlign w:val="center"/>
          </w:tcPr>
          <w:p w14:paraId="7BBDCC0C" w14:textId="77777777" w:rsidR="006C4910" w:rsidRDefault="0065372D">
            <w:pPr>
              <w:keepNext/>
              <w:keepLines/>
              <w:spacing w:after="0" w:line="240" w:lineRule="auto"/>
            </w:pPr>
            <w:r>
              <w:rPr>
                <w:sz w:val="18"/>
              </w:rPr>
              <w:t>191</w:t>
            </w:r>
          </w:p>
        </w:tc>
        <w:tc>
          <w:tcPr>
            <w:tcW w:w="3180" w:type="dxa"/>
            <w:tcMar>
              <w:top w:w="0" w:type="dxa"/>
              <w:bottom w:w="0" w:type="dxa"/>
            </w:tcMar>
            <w:vAlign w:val="center"/>
          </w:tcPr>
          <w:p w14:paraId="3B49F3BA" w14:textId="77777777" w:rsidR="006C4910" w:rsidRDefault="0065372D">
            <w:pPr>
              <w:keepNext/>
              <w:keepLines/>
              <w:spacing w:after="0" w:line="240" w:lineRule="auto"/>
            </w:pPr>
            <w:r>
              <w:rPr>
                <w:sz w:val="18"/>
              </w:rPr>
              <w:t>Rashodi budućih razdoblja</w:t>
            </w:r>
          </w:p>
        </w:tc>
        <w:tc>
          <w:tcPr>
            <w:tcW w:w="700" w:type="dxa"/>
            <w:tcMar>
              <w:top w:w="0" w:type="dxa"/>
              <w:bottom w:w="0" w:type="dxa"/>
            </w:tcMar>
            <w:vAlign w:val="center"/>
          </w:tcPr>
          <w:p w14:paraId="1F17FAB8" w14:textId="77777777" w:rsidR="006C4910" w:rsidRDefault="0065372D">
            <w:pPr>
              <w:keepNext/>
              <w:keepLines/>
              <w:spacing w:after="0" w:line="240" w:lineRule="auto"/>
            </w:pPr>
            <w:r>
              <w:rPr>
                <w:sz w:val="18"/>
              </w:rPr>
              <w:t>191</w:t>
            </w:r>
          </w:p>
        </w:tc>
        <w:tc>
          <w:tcPr>
            <w:tcW w:w="1860" w:type="dxa"/>
            <w:tcMar>
              <w:top w:w="0" w:type="dxa"/>
              <w:bottom w:w="0" w:type="dxa"/>
            </w:tcMar>
            <w:vAlign w:val="center"/>
          </w:tcPr>
          <w:p w14:paraId="75FA17A4" w14:textId="77777777" w:rsidR="006C4910" w:rsidRDefault="0065372D">
            <w:pPr>
              <w:keepNext/>
              <w:keepLines/>
              <w:spacing w:after="0" w:line="240" w:lineRule="auto"/>
              <w:jc w:val="right"/>
            </w:pPr>
            <w:r>
              <w:rPr>
                <w:sz w:val="18"/>
              </w:rPr>
              <w:t>1.715,00</w:t>
            </w:r>
          </w:p>
        </w:tc>
        <w:tc>
          <w:tcPr>
            <w:tcW w:w="1860" w:type="dxa"/>
            <w:tcMar>
              <w:top w:w="0" w:type="dxa"/>
              <w:bottom w:w="0" w:type="dxa"/>
            </w:tcMar>
            <w:vAlign w:val="center"/>
          </w:tcPr>
          <w:p w14:paraId="1669F4A1" w14:textId="77777777" w:rsidR="006C4910" w:rsidRDefault="0065372D">
            <w:pPr>
              <w:keepNext/>
              <w:keepLines/>
              <w:spacing w:after="0" w:line="240" w:lineRule="auto"/>
              <w:jc w:val="right"/>
            </w:pPr>
            <w:r>
              <w:rPr>
                <w:sz w:val="18"/>
              </w:rPr>
              <w:t>1.200,00</w:t>
            </w:r>
          </w:p>
        </w:tc>
        <w:tc>
          <w:tcPr>
            <w:tcW w:w="700" w:type="dxa"/>
            <w:tcMar>
              <w:top w:w="0" w:type="dxa"/>
              <w:bottom w:w="0" w:type="dxa"/>
            </w:tcMar>
            <w:vAlign w:val="center"/>
          </w:tcPr>
          <w:p w14:paraId="79DA7650" w14:textId="77777777" w:rsidR="006C4910" w:rsidRDefault="0065372D">
            <w:pPr>
              <w:keepNext/>
              <w:keepLines/>
              <w:spacing w:after="0" w:line="240" w:lineRule="auto"/>
              <w:jc w:val="right"/>
            </w:pPr>
            <w:r>
              <w:rPr>
                <w:sz w:val="18"/>
              </w:rPr>
              <w:t>70,0</w:t>
            </w:r>
          </w:p>
        </w:tc>
      </w:tr>
    </w:tbl>
    <w:p w14:paraId="2729FF37" w14:textId="77777777" w:rsidR="006C4910" w:rsidRDefault="006C4910">
      <w:pPr>
        <w:spacing w:after="0"/>
      </w:pPr>
    </w:p>
    <w:p w14:paraId="1130A6F7" w14:textId="77777777" w:rsidR="006C4910" w:rsidRDefault="0065372D">
      <w:r>
        <w:t>Na obračunu plaće za 12. mjesec 2025. godine su obračunani i troškovi prehrane zaposlenika za siječanj 2026. godine koji su isplaćeni tijekom siječnja, stoga su evidentirani kao rashodi budućih razdoblja.</w:t>
      </w:r>
    </w:p>
    <w:p w14:paraId="12821E3C" w14:textId="77777777" w:rsidR="006C4910" w:rsidRDefault="006C4910"/>
    <w:p w14:paraId="24CEA8BC" w14:textId="77777777" w:rsidR="006C4910" w:rsidRDefault="0065372D">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49D873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2BEBF8"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08615C"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BDF3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EFDD2"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5C4E03"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299226" w14:textId="77777777" w:rsidR="006C4910" w:rsidRDefault="0065372D">
            <w:pPr>
              <w:keepNext/>
              <w:keepLines/>
              <w:spacing w:after="0" w:line="240" w:lineRule="auto"/>
              <w:jc w:val="center"/>
            </w:pPr>
            <w:r>
              <w:rPr>
                <w:b/>
                <w:sz w:val="18"/>
              </w:rPr>
              <w:t>Indeks (%)</w:t>
            </w:r>
          </w:p>
        </w:tc>
      </w:tr>
      <w:tr w:rsidR="006C4910" w14:paraId="1198F5D4" w14:textId="77777777">
        <w:tblPrEx>
          <w:tblCellMar>
            <w:top w:w="0" w:type="dxa"/>
            <w:bottom w:w="0" w:type="dxa"/>
          </w:tblCellMar>
        </w:tblPrEx>
        <w:trPr>
          <w:cantSplit/>
          <w:trHeight w:val="560"/>
        </w:trPr>
        <w:tc>
          <w:tcPr>
            <w:tcW w:w="700" w:type="dxa"/>
            <w:tcMar>
              <w:top w:w="0" w:type="dxa"/>
              <w:bottom w:w="0" w:type="dxa"/>
            </w:tcMar>
            <w:vAlign w:val="center"/>
          </w:tcPr>
          <w:p w14:paraId="0FC4883C" w14:textId="77777777" w:rsidR="006C4910" w:rsidRDefault="0065372D">
            <w:pPr>
              <w:keepNext/>
              <w:keepLines/>
              <w:spacing w:after="0" w:line="240" w:lineRule="auto"/>
            </w:pPr>
            <w:r>
              <w:rPr>
                <w:sz w:val="18"/>
              </w:rPr>
              <w:t>2343</w:t>
            </w:r>
          </w:p>
        </w:tc>
        <w:tc>
          <w:tcPr>
            <w:tcW w:w="3180" w:type="dxa"/>
            <w:tcMar>
              <w:top w:w="0" w:type="dxa"/>
              <w:bottom w:w="0" w:type="dxa"/>
            </w:tcMar>
            <w:vAlign w:val="center"/>
          </w:tcPr>
          <w:p w14:paraId="01AB2CD5" w14:textId="77777777" w:rsidR="006C4910" w:rsidRDefault="0065372D">
            <w:pPr>
              <w:keepNext/>
              <w:keepLines/>
              <w:spacing w:after="0" w:line="240" w:lineRule="auto"/>
            </w:pPr>
            <w:r>
              <w:rPr>
                <w:sz w:val="18"/>
              </w:rPr>
              <w:t>Obveze za ostale financijske rashode</w:t>
            </w:r>
          </w:p>
        </w:tc>
        <w:tc>
          <w:tcPr>
            <w:tcW w:w="700" w:type="dxa"/>
            <w:tcMar>
              <w:top w:w="0" w:type="dxa"/>
              <w:bottom w:w="0" w:type="dxa"/>
            </w:tcMar>
            <w:vAlign w:val="center"/>
          </w:tcPr>
          <w:p w14:paraId="1EE3A25A" w14:textId="77777777" w:rsidR="006C4910" w:rsidRDefault="0065372D">
            <w:pPr>
              <w:keepNext/>
              <w:keepLines/>
              <w:spacing w:after="0" w:line="240" w:lineRule="auto"/>
            </w:pPr>
            <w:r>
              <w:rPr>
                <w:sz w:val="18"/>
              </w:rPr>
              <w:t>2343</w:t>
            </w:r>
          </w:p>
        </w:tc>
        <w:tc>
          <w:tcPr>
            <w:tcW w:w="1860" w:type="dxa"/>
            <w:tcMar>
              <w:top w:w="0" w:type="dxa"/>
              <w:bottom w:w="0" w:type="dxa"/>
            </w:tcMar>
            <w:vAlign w:val="center"/>
          </w:tcPr>
          <w:p w14:paraId="1DD8084D" w14:textId="77777777" w:rsidR="006C4910" w:rsidRDefault="0065372D">
            <w:pPr>
              <w:keepNext/>
              <w:keepLines/>
              <w:spacing w:after="0" w:line="240" w:lineRule="auto"/>
              <w:jc w:val="right"/>
            </w:pPr>
            <w:r>
              <w:rPr>
                <w:sz w:val="18"/>
              </w:rPr>
              <w:t>36,75</w:t>
            </w:r>
          </w:p>
        </w:tc>
        <w:tc>
          <w:tcPr>
            <w:tcW w:w="1860" w:type="dxa"/>
            <w:tcMar>
              <w:top w:w="0" w:type="dxa"/>
              <w:bottom w:w="0" w:type="dxa"/>
            </w:tcMar>
            <w:vAlign w:val="center"/>
          </w:tcPr>
          <w:p w14:paraId="03C345E5" w14:textId="77777777" w:rsidR="006C4910" w:rsidRDefault="0065372D">
            <w:pPr>
              <w:keepNext/>
              <w:keepLines/>
              <w:spacing w:after="0" w:line="240" w:lineRule="auto"/>
              <w:jc w:val="right"/>
            </w:pPr>
            <w:r>
              <w:rPr>
                <w:sz w:val="18"/>
              </w:rPr>
              <w:t>74,34</w:t>
            </w:r>
          </w:p>
        </w:tc>
        <w:tc>
          <w:tcPr>
            <w:tcW w:w="700" w:type="dxa"/>
            <w:tcMar>
              <w:top w:w="0" w:type="dxa"/>
              <w:bottom w:w="0" w:type="dxa"/>
            </w:tcMar>
            <w:vAlign w:val="center"/>
          </w:tcPr>
          <w:p w14:paraId="755D2673" w14:textId="77777777" w:rsidR="006C4910" w:rsidRDefault="0065372D">
            <w:pPr>
              <w:keepNext/>
              <w:keepLines/>
              <w:spacing w:after="0" w:line="240" w:lineRule="auto"/>
              <w:jc w:val="right"/>
            </w:pPr>
            <w:r>
              <w:rPr>
                <w:sz w:val="18"/>
              </w:rPr>
              <w:t>202,3</w:t>
            </w:r>
          </w:p>
        </w:tc>
      </w:tr>
    </w:tbl>
    <w:p w14:paraId="341B76CC" w14:textId="77777777" w:rsidR="006C4910" w:rsidRDefault="006C4910">
      <w:pPr>
        <w:spacing w:after="0"/>
      </w:pPr>
    </w:p>
    <w:p w14:paraId="1CA92D1A" w14:textId="77777777" w:rsidR="006C4910" w:rsidRDefault="0065372D">
      <w:r>
        <w:t>Promjene uvjeta poslovanja banke povećali su stavku bankarskih troškova i ujedno i obveza.</w:t>
      </w:r>
    </w:p>
    <w:p w14:paraId="213412BE" w14:textId="77777777" w:rsidR="006C4910" w:rsidRDefault="006C4910"/>
    <w:p w14:paraId="65BFC3C2" w14:textId="77777777" w:rsidR="006C4910" w:rsidRDefault="0065372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01D515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5E749"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468E06"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33FFD"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7AB582"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922BF1"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ACB629" w14:textId="77777777" w:rsidR="006C4910" w:rsidRDefault="0065372D">
            <w:pPr>
              <w:keepNext/>
              <w:keepLines/>
              <w:spacing w:after="0" w:line="240" w:lineRule="auto"/>
              <w:jc w:val="center"/>
            </w:pPr>
            <w:r>
              <w:rPr>
                <w:b/>
                <w:sz w:val="18"/>
              </w:rPr>
              <w:t>Indeks (%)</w:t>
            </w:r>
          </w:p>
        </w:tc>
      </w:tr>
      <w:tr w:rsidR="006C4910" w14:paraId="5F0C46CC" w14:textId="77777777">
        <w:tblPrEx>
          <w:tblCellMar>
            <w:top w:w="0" w:type="dxa"/>
            <w:bottom w:w="0" w:type="dxa"/>
          </w:tblCellMar>
        </w:tblPrEx>
        <w:trPr>
          <w:cantSplit/>
          <w:trHeight w:val="560"/>
        </w:trPr>
        <w:tc>
          <w:tcPr>
            <w:tcW w:w="700" w:type="dxa"/>
            <w:tcMar>
              <w:top w:w="0" w:type="dxa"/>
              <w:bottom w:w="0" w:type="dxa"/>
            </w:tcMar>
            <w:vAlign w:val="center"/>
          </w:tcPr>
          <w:p w14:paraId="669CB6E6" w14:textId="77777777" w:rsidR="006C4910" w:rsidRDefault="0065372D">
            <w:pPr>
              <w:keepNext/>
              <w:keepLines/>
              <w:spacing w:after="0" w:line="240" w:lineRule="auto"/>
            </w:pPr>
            <w:r>
              <w:rPr>
                <w:sz w:val="18"/>
              </w:rPr>
              <w:t>242</w:t>
            </w:r>
          </w:p>
        </w:tc>
        <w:tc>
          <w:tcPr>
            <w:tcW w:w="3180" w:type="dxa"/>
            <w:tcMar>
              <w:top w:w="0" w:type="dxa"/>
              <w:bottom w:w="0" w:type="dxa"/>
            </w:tcMar>
            <w:vAlign w:val="center"/>
          </w:tcPr>
          <w:p w14:paraId="25218B6C" w14:textId="77777777" w:rsidR="006C4910" w:rsidRDefault="0065372D">
            <w:pPr>
              <w:keepNext/>
              <w:keepLines/>
              <w:spacing w:after="0" w:line="240" w:lineRule="auto"/>
            </w:pPr>
            <w:r>
              <w:rPr>
                <w:sz w:val="18"/>
              </w:rPr>
              <w:t>Obveze za nabavu proizvedene dugotrajne imovine</w:t>
            </w:r>
          </w:p>
        </w:tc>
        <w:tc>
          <w:tcPr>
            <w:tcW w:w="700" w:type="dxa"/>
            <w:tcMar>
              <w:top w:w="0" w:type="dxa"/>
              <w:bottom w:w="0" w:type="dxa"/>
            </w:tcMar>
            <w:vAlign w:val="center"/>
          </w:tcPr>
          <w:p w14:paraId="12EE6E00" w14:textId="77777777" w:rsidR="006C4910" w:rsidRDefault="0065372D">
            <w:pPr>
              <w:keepNext/>
              <w:keepLines/>
              <w:spacing w:after="0" w:line="240" w:lineRule="auto"/>
            </w:pPr>
            <w:r>
              <w:rPr>
                <w:sz w:val="18"/>
              </w:rPr>
              <w:t>242</w:t>
            </w:r>
          </w:p>
        </w:tc>
        <w:tc>
          <w:tcPr>
            <w:tcW w:w="1860" w:type="dxa"/>
            <w:tcMar>
              <w:top w:w="0" w:type="dxa"/>
              <w:bottom w:w="0" w:type="dxa"/>
            </w:tcMar>
            <w:vAlign w:val="center"/>
          </w:tcPr>
          <w:p w14:paraId="5FFEBF94" w14:textId="77777777" w:rsidR="006C4910" w:rsidRDefault="0065372D">
            <w:pPr>
              <w:keepNext/>
              <w:keepLines/>
              <w:spacing w:after="0" w:line="240" w:lineRule="auto"/>
              <w:jc w:val="right"/>
            </w:pPr>
            <w:r>
              <w:rPr>
                <w:sz w:val="18"/>
              </w:rPr>
              <w:t>27.820,00</w:t>
            </w:r>
          </w:p>
        </w:tc>
        <w:tc>
          <w:tcPr>
            <w:tcW w:w="1860" w:type="dxa"/>
            <w:tcMar>
              <w:top w:w="0" w:type="dxa"/>
              <w:bottom w:w="0" w:type="dxa"/>
            </w:tcMar>
            <w:vAlign w:val="center"/>
          </w:tcPr>
          <w:p w14:paraId="4B0878D7"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1F10B569" w14:textId="77777777" w:rsidR="006C4910" w:rsidRDefault="0065372D">
            <w:pPr>
              <w:keepNext/>
              <w:keepLines/>
              <w:spacing w:after="0" w:line="240" w:lineRule="auto"/>
              <w:jc w:val="right"/>
            </w:pPr>
            <w:r>
              <w:rPr>
                <w:sz w:val="18"/>
              </w:rPr>
              <w:t>0</w:t>
            </w:r>
          </w:p>
        </w:tc>
      </w:tr>
    </w:tbl>
    <w:p w14:paraId="7504EF26" w14:textId="77777777" w:rsidR="006C4910" w:rsidRDefault="006C4910">
      <w:pPr>
        <w:spacing w:after="0"/>
      </w:pPr>
    </w:p>
    <w:p w14:paraId="59578C59" w14:textId="77777777" w:rsidR="006C4910" w:rsidRDefault="0065372D">
      <w:r>
        <w:t>Troškovi nabavke automobila u 12. mjesecu 2024. godine podmirena je u siječnju 2025. godine u vremenu dospijeća obveze.</w:t>
      </w:r>
    </w:p>
    <w:p w14:paraId="0EB022CD" w14:textId="77777777" w:rsidR="006C4910" w:rsidRDefault="006C4910"/>
    <w:p w14:paraId="1633DE9A" w14:textId="77777777" w:rsidR="006C4910" w:rsidRDefault="0065372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0411D2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EF8266"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6A75B2"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320410"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D2777D"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A3EA731"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A0CE2A" w14:textId="77777777" w:rsidR="006C4910" w:rsidRDefault="0065372D">
            <w:pPr>
              <w:keepNext/>
              <w:keepLines/>
              <w:spacing w:after="0" w:line="240" w:lineRule="auto"/>
              <w:jc w:val="center"/>
            </w:pPr>
            <w:r>
              <w:rPr>
                <w:b/>
                <w:sz w:val="18"/>
              </w:rPr>
              <w:t>Indeks (%)</w:t>
            </w:r>
          </w:p>
        </w:tc>
      </w:tr>
      <w:tr w:rsidR="006C4910" w14:paraId="7D075A5D" w14:textId="77777777">
        <w:tblPrEx>
          <w:tblCellMar>
            <w:top w:w="0" w:type="dxa"/>
            <w:bottom w:w="0" w:type="dxa"/>
          </w:tblCellMar>
        </w:tblPrEx>
        <w:trPr>
          <w:cantSplit/>
          <w:trHeight w:val="560"/>
        </w:trPr>
        <w:tc>
          <w:tcPr>
            <w:tcW w:w="700" w:type="dxa"/>
            <w:tcMar>
              <w:top w:w="0" w:type="dxa"/>
              <w:bottom w:w="0" w:type="dxa"/>
            </w:tcMar>
            <w:vAlign w:val="center"/>
          </w:tcPr>
          <w:p w14:paraId="3ABC263D" w14:textId="77777777" w:rsidR="006C4910" w:rsidRDefault="0065372D">
            <w:pPr>
              <w:keepNext/>
              <w:keepLines/>
              <w:spacing w:after="0" w:line="240" w:lineRule="auto"/>
            </w:pPr>
            <w:r>
              <w:rPr>
                <w:sz w:val="18"/>
              </w:rPr>
              <w:t>91</w:t>
            </w:r>
          </w:p>
        </w:tc>
        <w:tc>
          <w:tcPr>
            <w:tcW w:w="3180" w:type="dxa"/>
            <w:tcMar>
              <w:top w:w="0" w:type="dxa"/>
              <w:bottom w:w="0" w:type="dxa"/>
            </w:tcMar>
            <w:vAlign w:val="center"/>
          </w:tcPr>
          <w:p w14:paraId="5F13BA17" w14:textId="77777777" w:rsidR="006C4910" w:rsidRDefault="0065372D">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12D6EC95" w14:textId="77777777" w:rsidR="006C4910" w:rsidRDefault="0065372D">
            <w:pPr>
              <w:keepNext/>
              <w:keepLines/>
              <w:spacing w:after="0" w:line="240" w:lineRule="auto"/>
            </w:pPr>
            <w:r>
              <w:rPr>
                <w:sz w:val="18"/>
              </w:rPr>
              <w:t>91</w:t>
            </w:r>
          </w:p>
        </w:tc>
        <w:tc>
          <w:tcPr>
            <w:tcW w:w="1860" w:type="dxa"/>
            <w:tcMar>
              <w:top w:w="0" w:type="dxa"/>
              <w:bottom w:w="0" w:type="dxa"/>
            </w:tcMar>
            <w:vAlign w:val="center"/>
          </w:tcPr>
          <w:p w14:paraId="5A3EDD01" w14:textId="77777777" w:rsidR="006C4910" w:rsidRDefault="0065372D">
            <w:pPr>
              <w:keepNext/>
              <w:keepLines/>
              <w:spacing w:after="0" w:line="240" w:lineRule="auto"/>
              <w:jc w:val="right"/>
            </w:pPr>
            <w:r>
              <w:rPr>
                <w:sz w:val="18"/>
              </w:rPr>
              <w:t>33.363,03</w:t>
            </w:r>
          </w:p>
        </w:tc>
        <w:tc>
          <w:tcPr>
            <w:tcW w:w="1860" w:type="dxa"/>
            <w:tcMar>
              <w:top w:w="0" w:type="dxa"/>
              <w:bottom w:w="0" w:type="dxa"/>
            </w:tcMar>
            <w:vAlign w:val="center"/>
          </w:tcPr>
          <w:p w14:paraId="38B15724" w14:textId="77777777" w:rsidR="006C4910" w:rsidRDefault="0065372D">
            <w:pPr>
              <w:keepNext/>
              <w:keepLines/>
              <w:spacing w:after="0" w:line="240" w:lineRule="auto"/>
              <w:jc w:val="right"/>
            </w:pPr>
            <w:r>
              <w:rPr>
                <w:sz w:val="18"/>
              </w:rPr>
              <w:t>54.313,75</w:t>
            </w:r>
          </w:p>
        </w:tc>
        <w:tc>
          <w:tcPr>
            <w:tcW w:w="700" w:type="dxa"/>
            <w:tcMar>
              <w:top w:w="0" w:type="dxa"/>
              <w:bottom w:w="0" w:type="dxa"/>
            </w:tcMar>
            <w:vAlign w:val="center"/>
          </w:tcPr>
          <w:p w14:paraId="0668C983" w14:textId="77777777" w:rsidR="006C4910" w:rsidRDefault="0065372D">
            <w:pPr>
              <w:keepNext/>
              <w:keepLines/>
              <w:spacing w:after="0" w:line="240" w:lineRule="auto"/>
              <w:jc w:val="right"/>
            </w:pPr>
            <w:r>
              <w:rPr>
                <w:sz w:val="18"/>
              </w:rPr>
              <w:t>162,8</w:t>
            </w:r>
          </w:p>
        </w:tc>
      </w:tr>
    </w:tbl>
    <w:p w14:paraId="1E228F55" w14:textId="77777777" w:rsidR="006C4910" w:rsidRDefault="006C4910">
      <w:pPr>
        <w:spacing w:after="0"/>
      </w:pPr>
    </w:p>
    <w:p w14:paraId="2EE178EF" w14:textId="77777777" w:rsidR="006C4910" w:rsidRDefault="0065372D">
      <w:r>
        <w:t>Nabavka opreme za opremanje stanova za organizirano stanovanje povećala je iznos vlastitih izvora koji će se kroz amortizaciju smanjivati kroz godine.</w:t>
      </w:r>
    </w:p>
    <w:p w14:paraId="1AE9467D" w14:textId="77777777" w:rsidR="006C4910" w:rsidRDefault="006C4910"/>
    <w:p w14:paraId="0241DED7" w14:textId="77777777" w:rsidR="006C4910" w:rsidRDefault="0065372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6C4910" w14:paraId="3B7E0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0E7EC6"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225344"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1204F"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A150E9" w14:textId="77777777" w:rsidR="006C4910" w:rsidRDefault="0065372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A9EF29" w14:textId="77777777" w:rsidR="006C4910" w:rsidRDefault="0065372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48BCC2" w14:textId="77777777" w:rsidR="006C4910" w:rsidRDefault="0065372D">
            <w:pPr>
              <w:keepNext/>
              <w:keepLines/>
              <w:spacing w:after="0" w:line="240" w:lineRule="auto"/>
              <w:jc w:val="center"/>
            </w:pPr>
            <w:r>
              <w:rPr>
                <w:b/>
                <w:sz w:val="18"/>
              </w:rPr>
              <w:t>Indeks (%)</w:t>
            </w:r>
          </w:p>
        </w:tc>
      </w:tr>
      <w:tr w:rsidR="006C4910" w14:paraId="30D107EA" w14:textId="77777777">
        <w:tblPrEx>
          <w:tblCellMar>
            <w:top w:w="0" w:type="dxa"/>
            <w:bottom w:w="0" w:type="dxa"/>
          </w:tblCellMar>
        </w:tblPrEx>
        <w:trPr>
          <w:cantSplit/>
          <w:trHeight w:val="560"/>
        </w:trPr>
        <w:tc>
          <w:tcPr>
            <w:tcW w:w="700" w:type="dxa"/>
            <w:tcMar>
              <w:top w:w="0" w:type="dxa"/>
              <w:bottom w:w="0" w:type="dxa"/>
            </w:tcMar>
            <w:vAlign w:val="center"/>
          </w:tcPr>
          <w:p w14:paraId="6E193419" w14:textId="77777777" w:rsidR="006C4910" w:rsidRDefault="0065372D">
            <w:pPr>
              <w:keepNext/>
              <w:keepLines/>
              <w:spacing w:after="0" w:line="240" w:lineRule="auto"/>
            </w:pPr>
            <w:r>
              <w:rPr>
                <w:sz w:val="18"/>
              </w:rPr>
              <w:t>12911</w:t>
            </w:r>
          </w:p>
        </w:tc>
        <w:tc>
          <w:tcPr>
            <w:tcW w:w="3180" w:type="dxa"/>
            <w:tcMar>
              <w:top w:w="0" w:type="dxa"/>
              <w:bottom w:w="0" w:type="dxa"/>
            </w:tcMar>
            <w:vAlign w:val="center"/>
          </w:tcPr>
          <w:p w14:paraId="57F09280" w14:textId="77777777" w:rsidR="006C4910" w:rsidRDefault="0065372D">
            <w:pPr>
              <w:keepNext/>
              <w:keepLines/>
              <w:spacing w:after="0" w:line="240" w:lineRule="auto"/>
            </w:pPr>
            <w:r>
              <w:rPr>
                <w:sz w:val="18"/>
              </w:rPr>
              <w:t>Potraživanja za naknade koje se refundiraju</w:t>
            </w:r>
          </w:p>
        </w:tc>
        <w:tc>
          <w:tcPr>
            <w:tcW w:w="700" w:type="dxa"/>
            <w:tcMar>
              <w:top w:w="0" w:type="dxa"/>
              <w:bottom w:w="0" w:type="dxa"/>
            </w:tcMar>
            <w:vAlign w:val="center"/>
          </w:tcPr>
          <w:p w14:paraId="4331163C" w14:textId="77777777" w:rsidR="006C4910" w:rsidRDefault="0065372D">
            <w:pPr>
              <w:keepNext/>
              <w:keepLines/>
              <w:spacing w:after="0" w:line="240" w:lineRule="auto"/>
            </w:pPr>
            <w:r>
              <w:rPr>
                <w:sz w:val="18"/>
              </w:rPr>
              <w:t>12911</w:t>
            </w:r>
          </w:p>
        </w:tc>
        <w:tc>
          <w:tcPr>
            <w:tcW w:w="1860" w:type="dxa"/>
            <w:tcMar>
              <w:top w:w="0" w:type="dxa"/>
              <w:bottom w:w="0" w:type="dxa"/>
            </w:tcMar>
            <w:vAlign w:val="center"/>
          </w:tcPr>
          <w:p w14:paraId="4D2EDE8D" w14:textId="77777777" w:rsidR="006C4910" w:rsidRDefault="0065372D">
            <w:pPr>
              <w:keepNext/>
              <w:keepLines/>
              <w:spacing w:after="0" w:line="240" w:lineRule="auto"/>
              <w:jc w:val="right"/>
            </w:pPr>
            <w:r>
              <w:rPr>
                <w:sz w:val="18"/>
              </w:rPr>
              <w:t>3.172,98</w:t>
            </w:r>
          </w:p>
        </w:tc>
        <w:tc>
          <w:tcPr>
            <w:tcW w:w="1860" w:type="dxa"/>
            <w:tcMar>
              <w:top w:w="0" w:type="dxa"/>
              <w:bottom w:w="0" w:type="dxa"/>
            </w:tcMar>
            <w:vAlign w:val="center"/>
          </w:tcPr>
          <w:p w14:paraId="1A1CB080" w14:textId="77777777" w:rsidR="006C4910" w:rsidRDefault="0065372D">
            <w:pPr>
              <w:keepNext/>
              <w:keepLines/>
              <w:spacing w:after="0" w:line="240" w:lineRule="auto"/>
              <w:jc w:val="right"/>
            </w:pPr>
            <w:r>
              <w:rPr>
                <w:sz w:val="18"/>
              </w:rPr>
              <w:t>5.673,72</w:t>
            </w:r>
          </w:p>
        </w:tc>
        <w:tc>
          <w:tcPr>
            <w:tcW w:w="700" w:type="dxa"/>
            <w:tcMar>
              <w:top w:w="0" w:type="dxa"/>
              <w:bottom w:w="0" w:type="dxa"/>
            </w:tcMar>
            <w:vAlign w:val="center"/>
          </w:tcPr>
          <w:p w14:paraId="59ABD9D8" w14:textId="77777777" w:rsidR="006C4910" w:rsidRDefault="0065372D">
            <w:pPr>
              <w:keepNext/>
              <w:keepLines/>
              <w:spacing w:after="0" w:line="240" w:lineRule="auto"/>
              <w:jc w:val="right"/>
            </w:pPr>
            <w:r>
              <w:rPr>
                <w:sz w:val="18"/>
              </w:rPr>
              <w:t>178,8</w:t>
            </w:r>
          </w:p>
        </w:tc>
      </w:tr>
    </w:tbl>
    <w:p w14:paraId="5E296AAE" w14:textId="77777777" w:rsidR="006C4910" w:rsidRDefault="006C4910">
      <w:pPr>
        <w:spacing w:after="0"/>
      </w:pPr>
    </w:p>
    <w:p w14:paraId="75EE8AC5" w14:textId="77777777" w:rsidR="006C4910" w:rsidRDefault="0065372D">
      <w:r>
        <w:t>Krajem 2025. godine su 2 osobe bile na dugotrajnom bolovanju i dodatno su zaposlenice su bile na bolovanju zbog njege djeteta, očekuje se povrat sredstava od HZZO-a početkom 2026. godine.</w:t>
      </w:r>
    </w:p>
    <w:p w14:paraId="5B4EA78B" w14:textId="77777777" w:rsidR="006C4910" w:rsidRDefault="006C4910"/>
    <w:p w14:paraId="737E62A0" w14:textId="77777777" w:rsidR="006C4910" w:rsidRDefault="0065372D">
      <w:pPr>
        <w:keepNext/>
        <w:spacing w:line="240" w:lineRule="auto"/>
        <w:jc w:val="center"/>
      </w:pPr>
      <w:r>
        <w:rPr>
          <w:b/>
          <w:sz w:val="28"/>
        </w:rPr>
        <w:lastRenderedPageBreak/>
        <w:t>Izvještaj o obvezama</w:t>
      </w:r>
    </w:p>
    <w:p w14:paraId="529A79E0" w14:textId="77777777" w:rsidR="006C4910" w:rsidRDefault="0065372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C4910" w14:paraId="2E435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279FE"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4EC32B"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A1FD72"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4DA6D" w14:textId="77777777" w:rsidR="006C4910" w:rsidRDefault="0065372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8BC6389" w14:textId="77777777" w:rsidR="006C4910" w:rsidRDefault="0065372D">
            <w:pPr>
              <w:keepNext/>
              <w:keepLines/>
              <w:spacing w:after="0" w:line="240" w:lineRule="auto"/>
              <w:jc w:val="center"/>
            </w:pPr>
            <w:r>
              <w:rPr>
                <w:b/>
                <w:sz w:val="18"/>
              </w:rPr>
              <w:t>Indeks (%)</w:t>
            </w:r>
          </w:p>
        </w:tc>
      </w:tr>
      <w:tr w:rsidR="006C4910" w14:paraId="012CA572" w14:textId="77777777">
        <w:tblPrEx>
          <w:tblCellMar>
            <w:top w:w="0" w:type="dxa"/>
            <w:bottom w:w="0" w:type="dxa"/>
          </w:tblCellMar>
        </w:tblPrEx>
        <w:trPr>
          <w:cantSplit/>
          <w:trHeight w:val="560"/>
        </w:trPr>
        <w:tc>
          <w:tcPr>
            <w:tcW w:w="700" w:type="dxa"/>
            <w:tcMar>
              <w:top w:w="0" w:type="dxa"/>
              <w:bottom w:w="0" w:type="dxa"/>
            </w:tcMar>
            <w:vAlign w:val="center"/>
          </w:tcPr>
          <w:p w14:paraId="67F052BF" w14:textId="77777777" w:rsidR="006C4910" w:rsidRDefault="006C4910">
            <w:pPr>
              <w:keepNext/>
              <w:keepLines/>
              <w:spacing w:after="0" w:line="240" w:lineRule="auto"/>
            </w:pPr>
          </w:p>
        </w:tc>
        <w:tc>
          <w:tcPr>
            <w:tcW w:w="3180" w:type="dxa"/>
            <w:tcMar>
              <w:top w:w="0" w:type="dxa"/>
              <w:bottom w:w="0" w:type="dxa"/>
            </w:tcMar>
            <w:vAlign w:val="center"/>
          </w:tcPr>
          <w:p w14:paraId="09A36878" w14:textId="77777777" w:rsidR="006C4910" w:rsidRDefault="0065372D">
            <w:pPr>
              <w:keepNext/>
              <w:keepLines/>
              <w:spacing w:after="0" w:line="240" w:lineRule="auto"/>
            </w:pPr>
            <w:r>
              <w:rPr>
                <w:sz w:val="18"/>
              </w:rPr>
              <w:t>Međusobne obveze subjekata općeg proračuna</w:t>
            </w:r>
          </w:p>
        </w:tc>
        <w:tc>
          <w:tcPr>
            <w:tcW w:w="700" w:type="dxa"/>
            <w:tcMar>
              <w:top w:w="0" w:type="dxa"/>
              <w:bottom w:w="0" w:type="dxa"/>
            </w:tcMar>
            <w:vAlign w:val="center"/>
          </w:tcPr>
          <w:p w14:paraId="5CEB7977" w14:textId="77777777" w:rsidR="006C4910" w:rsidRDefault="0065372D">
            <w:pPr>
              <w:keepNext/>
              <w:keepLines/>
              <w:spacing w:after="0" w:line="240" w:lineRule="auto"/>
            </w:pPr>
            <w:r>
              <w:rPr>
                <w:sz w:val="18"/>
              </w:rPr>
              <w:t>V003</w:t>
            </w:r>
          </w:p>
        </w:tc>
        <w:tc>
          <w:tcPr>
            <w:tcW w:w="1860" w:type="dxa"/>
            <w:tcMar>
              <w:top w:w="0" w:type="dxa"/>
              <w:bottom w:w="0" w:type="dxa"/>
            </w:tcMar>
            <w:vAlign w:val="center"/>
          </w:tcPr>
          <w:p w14:paraId="509FBB12" w14:textId="77777777" w:rsidR="006C4910" w:rsidRDefault="0065372D">
            <w:pPr>
              <w:keepNext/>
              <w:keepLines/>
              <w:spacing w:after="0" w:line="240" w:lineRule="auto"/>
              <w:jc w:val="right"/>
            </w:pPr>
            <w:r>
              <w:rPr>
                <w:sz w:val="18"/>
              </w:rPr>
              <w:t>77.165,86</w:t>
            </w:r>
          </w:p>
        </w:tc>
        <w:tc>
          <w:tcPr>
            <w:tcW w:w="700" w:type="dxa"/>
            <w:tcMar>
              <w:top w:w="0" w:type="dxa"/>
              <w:bottom w:w="0" w:type="dxa"/>
            </w:tcMar>
            <w:vAlign w:val="center"/>
          </w:tcPr>
          <w:p w14:paraId="1AD89083" w14:textId="77777777" w:rsidR="006C4910" w:rsidRDefault="0065372D">
            <w:pPr>
              <w:keepNext/>
              <w:keepLines/>
              <w:spacing w:after="0" w:line="240" w:lineRule="auto"/>
              <w:jc w:val="right"/>
            </w:pPr>
            <w:r>
              <w:rPr>
                <w:sz w:val="18"/>
              </w:rPr>
              <w:t>-</w:t>
            </w:r>
          </w:p>
        </w:tc>
      </w:tr>
    </w:tbl>
    <w:p w14:paraId="28D3AE34" w14:textId="77777777" w:rsidR="006C4910" w:rsidRDefault="006C4910">
      <w:pPr>
        <w:spacing w:after="0"/>
      </w:pPr>
    </w:p>
    <w:p w14:paraId="5BCEC5AD" w14:textId="77777777" w:rsidR="006C4910" w:rsidRDefault="0065372D">
      <w:r>
        <w:t>Međusobne obveze proračunskih korisnika u 2025. godini su se odnosile na obveze prema Ustanovi Dobri dom Grada Zagreba, te obveze za povrat neutrošenih sredstava u Proračun Grada Zagreba.</w:t>
      </w:r>
    </w:p>
    <w:p w14:paraId="26825973" w14:textId="77777777" w:rsidR="006C4910" w:rsidRDefault="006C4910"/>
    <w:p w14:paraId="71AE599B" w14:textId="77777777" w:rsidR="006C4910" w:rsidRDefault="0065372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C4910" w14:paraId="2BCC45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B07E6D"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EF03D3"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728288"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65CD2" w14:textId="77777777" w:rsidR="006C4910" w:rsidRDefault="0065372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23ADB9" w14:textId="77777777" w:rsidR="006C4910" w:rsidRDefault="0065372D">
            <w:pPr>
              <w:keepNext/>
              <w:keepLines/>
              <w:spacing w:after="0" w:line="240" w:lineRule="auto"/>
              <w:jc w:val="center"/>
            </w:pPr>
            <w:r>
              <w:rPr>
                <w:b/>
                <w:sz w:val="18"/>
              </w:rPr>
              <w:t>Indeks (%)</w:t>
            </w:r>
          </w:p>
        </w:tc>
      </w:tr>
      <w:tr w:rsidR="006C4910" w14:paraId="7FA4E6D2" w14:textId="77777777">
        <w:tblPrEx>
          <w:tblCellMar>
            <w:top w:w="0" w:type="dxa"/>
            <w:bottom w:w="0" w:type="dxa"/>
          </w:tblCellMar>
        </w:tblPrEx>
        <w:trPr>
          <w:cantSplit/>
          <w:trHeight w:val="560"/>
        </w:trPr>
        <w:tc>
          <w:tcPr>
            <w:tcW w:w="700" w:type="dxa"/>
            <w:tcMar>
              <w:top w:w="0" w:type="dxa"/>
              <w:bottom w:w="0" w:type="dxa"/>
            </w:tcMar>
            <w:vAlign w:val="center"/>
          </w:tcPr>
          <w:p w14:paraId="56A59BBA" w14:textId="77777777" w:rsidR="006C4910" w:rsidRDefault="006C4910">
            <w:pPr>
              <w:keepNext/>
              <w:keepLines/>
              <w:spacing w:after="0" w:line="240" w:lineRule="auto"/>
            </w:pPr>
          </w:p>
        </w:tc>
        <w:tc>
          <w:tcPr>
            <w:tcW w:w="3180" w:type="dxa"/>
            <w:tcMar>
              <w:top w:w="0" w:type="dxa"/>
              <w:bottom w:w="0" w:type="dxa"/>
            </w:tcMar>
            <w:vAlign w:val="center"/>
          </w:tcPr>
          <w:p w14:paraId="2A541DD7" w14:textId="77777777" w:rsidR="006C4910" w:rsidRDefault="0065372D">
            <w:pPr>
              <w:keepNext/>
              <w:keepLines/>
              <w:spacing w:after="0" w:line="240" w:lineRule="auto"/>
            </w:pPr>
            <w:r>
              <w:rPr>
                <w:sz w:val="18"/>
              </w:rPr>
              <w:t>Međusobne obveze subjekata općeg proračuna</w:t>
            </w:r>
          </w:p>
        </w:tc>
        <w:tc>
          <w:tcPr>
            <w:tcW w:w="700" w:type="dxa"/>
            <w:tcMar>
              <w:top w:w="0" w:type="dxa"/>
              <w:bottom w:w="0" w:type="dxa"/>
            </w:tcMar>
            <w:vAlign w:val="center"/>
          </w:tcPr>
          <w:p w14:paraId="780990D3" w14:textId="77777777" w:rsidR="006C4910" w:rsidRDefault="0065372D">
            <w:pPr>
              <w:keepNext/>
              <w:keepLines/>
              <w:spacing w:after="0" w:line="240" w:lineRule="auto"/>
            </w:pPr>
            <w:r>
              <w:rPr>
                <w:sz w:val="18"/>
              </w:rPr>
              <w:t>V005</w:t>
            </w:r>
          </w:p>
        </w:tc>
        <w:tc>
          <w:tcPr>
            <w:tcW w:w="1860" w:type="dxa"/>
            <w:tcMar>
              <w:top w:w="0" w:type="dxa"/>
              <w:bottom w:w="0" w:type="dxa"/>
            </w:tcMar>
            <w:vAlign w:val="center"/>
          </w:tcPr>
          <w:p w14:paraId="2205F90C" w14:textId="77777777" w:rsidR="006C4910" w:rsidRDefault="0065372D">
            <w:pPr>
              <w:keepNext/>
              <w:keepLines/>
              <w:spacing w:after="0" w:line="240" w:lineRule="auto"/>
              <w:jc w:val="right"/>
            </w:pPr>
            <w:r>
              <w:rPr>
                <w:sz w:val="18"/>
              </w:rPr>
              <w:t>49.144,90</w:t>
            </w:r>
          </w:p>
        </w:tc>
        <w:tc>
          <w:tcPr>
            <w:tcW w:w="700" w:type="dxa"/>
            <w:tcMar>
              <w:top w:w="0" w:type="dxa"/>
              <w:bottom w:w="0" w:type="dxa"/>
            </w:tcMar>
            <w:vAlign w:val="center"/>
          </w:tcPr>
          <w:p w14:paraId="5A3007B7" w14:textId="77777777" w:rsidR="006C4910" w:rsidRDefault="0065372D">
            <w:pPr>
              <w:keepNext/>
              <w:keepLines/>
              <w:spacing w:after="0" w:line="240" w:lineRule="auto"/>
              <w:jc w:val="right"/>
            </w:pPr>
            <w:r>
              <w:rPr>
                <w:sz w:val="18"/>
              </w:rPr>
              <w:t>-</w:t>
            </w:r>
          </w:p>
        </w:tc>
      </w:tr>
    </w:tbl>
    <w:p w14:paraId="74380357" w14:textId="77777777" w:rsidR="006C4910" w:rsidRDefault="006C4910">
      <w:pPr>
        <w:spacing w:after="0"/>
      </w:pPr>
    </w:p>
    <w:p w14:paraId="23E526F4" w14:textId="77777777" w:rsidR="006C4910" w:rsidRDefault="0065372D">
      <w:r>
        <w:t>Međusobne obveze proračunskih korisnika u 2025. godini su se odnosile na obveze prema Ustanovi Dobri dom Grada Zagreba, te obveze za povrat neutrošenih sredstava u Proračun Grada Zagreba.</w:t>
      </w:r>
    </w:p>
    <w:p w14:paraId="29142C58" w14:textId="77777777" w:rsidR="006C4910" w:rsidRDefault="006C4910"/>
    <w:p w14:paraId="05F5ED4F" w14:textId="77777777" w:rsidR="006C4910" w:rsidRDefault="0065372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C4910" w14:paraId="669B56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9DB229"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8AD28"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79E5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23C09" w14:textId="77777777" w:rsidR="006C4910" w:rsidRDefault="0065372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75E33D" w14:textId="77777777" w:rsidR="006C4910" w:rsidRDefault="0065372D">
            <w:pPr>
              <w:keepNext/>
              <w:keepLines/>
              <w:spacing w:after="0" w:line="240" w:lineRule="auto"/>
              <w:jc w:val="center"/>
            </w:pPr>
            <w:r>
              <w:rPr>
                <w:b/>
                <w:sz w:val="18"/>
              </w:rPr>
              <w:t>Indeks (%)</w:t>
            </w:r>
          </w:p>
        </w:tc>
      </w:tr>
      <w:tr w:rsidR="006C4910" w14:paraId="7D90774E" w14:textId="77777777">
        <w:tblPrEx>
          <w:tblCellMar>
            <w:top w:w="0" w:type="dxa"/>
            <w:bottom w:w="0" w:type="dxa"/>
          </w:tblCellMar>
        </w:tblPrEx>
        <w:trPr>
          <w:cantSplit/>
          <w:trHeight w:val="560"/>
        </w:trPr>
        <w:tc>
          <w:tcPr>
            <w:tcW w:w="700" w:type="dxa"/>
            <w:tcMar>
              <w:top w:w="0" w:type="dxa"/>
              <w:bottom w:w="0" w:type="dxa"/>
            </w:tcMar>
            <w:vAlign w:val="center"/>
          </w:tcPr>
          <w:p w14:paraId="7063A687" w14:textId="77777777" w:rsidR="006C4910" w:rsidRDefault="006C4910">
            <w:pPr>
              <w:keepNext/>
              <w:keepLines/>
              <w:spacing w:after="0" w:line="240" w:lineRule="auto"/>
            </w:pPr>
          </w:p>
        </w:tc>
        <w:tc>
          <w:tcPr>
            <w:tcW w:w="3180" w:type="dxa"/>
            <w:tcMar>
              <w:top w:w="0" w:type="dxa"/>
              <w:bottom w:w="0" w:type="dxa"/>
            </w:tcMar>
            <w:vAlign w:val="center"/>
          </w:tcPr>
          <w:p w14:paraId="39F88BB8" w14:textId="77777777" w:rsidR="006C4910" w:rsidRDefault="0065372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F14E34B" w14:textId="77777777" w:rsidR="006C4910" w:rsidRDefault="0065372D">
            <w:pPr>
              <w:keepNext/>
              <w:keepLines/>
              <w:spacing w:after="0" w:line="240" w:lineRule="auto"/>
            </w:pPr>
            <w:r>
              <w:rPr>
                <w:sz w:val="18"/>
              </w:rPr>
              <w:t>V007</w:t>
            </w:r>
          </w:p>
        </w:tc>
        <w:tc>
          <w:tcPr>
            <w:tcW w:w="1860" w:type="dxa"/>
            <w:tcMar>
              <w:top w:w="0" w:type="dxa"/>
              <w:bottom w:w="0" w:type="dxa"/>
            </w:tcMar>
            <w:vAlign w:val="center"/>
          </w:tcPr>
          <w:p w14:paraId="2F6078BB" w14:textId="77777777" w:rsidR="006C4910" w:rsidRDefault="0065372D">
            <w:pPr>
              <w:keepNext/>
              <w:keepLines/>
              <w:spacing w:after="0" w:line="240" w:lineRule="auto"/>
              <w:jc w:val="right"/>
            </w:pPr>
            <w:r>
              <w:rPr>
                <w:sz w:val="18"/>
              </w:rPr>
              <w:t>0,00</w:t>
            </w:r>
          </w:p>
        </w:tc>
        <w:tc>
          <w:tcPr>
            <w:tcW w:w="700" w:type="dxa"/>
            <w:tcMar>
              <w:top w:w="0" w:type="dxa"/>
              <w:bottom w:w="0" w:type="dxa"/>
            </w:tcMar>
            <w:vAlign w:val="center"/>
          </w:tcPr>
          <w:p w14:paraId="23047886" w14:textId="77777777" w:rsidR="006C4910" w:rsidRDefault="0065372D">
            <w:pPr>
              <w:keepNext/>
              <w:keepLines/>
              <w:spacing w:after="0" w:line="240" w:lineRule="auto"/>
              <w:jc w:val="right"/>
            </w:pPr>
            <w:r>
              <w:rPr>
                <w:sz w:val="18"/>
              </w:rPr>
              <w:t>-</w:t>
            </w:r>
          </w:p>
        </w:tc>
      </w:tr>
    </w:tbl>
    <w:p w14:paraId="2A3DE83E" w14:textId="77777777" w:rsidR="006C4910" w:rsidRDefault="006C4910">
      <w:pPr>
        <w:spacing w:after="0"/>
      </w:pPr>
    </w:p>
    <w:p w14:paraId="24036492" w14:textId="77777777" w:rsidR="006C4910" w:rsidRDefault="0065372D">
      <w:r>
        <w:t>Na kraju 2025. godine nije bilo dospjelih obveza.</w:t>
      </w:r>
    </w:p>
    <w:p w14:paraId="31360AE8" w14:textId="77777777" w:rsidR="006C4910" w:rsidRDefault="006C4910"/>
    <w:p w14:paraId="014D4645" w14:textId="77777777" w:rsidR="006C4910" w:rsidRDefault="0065372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6C4910" w14:paraId="3B7A1F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D6C55" w14:textId="77777777" w:rsidR="006C4910" w:rsidRDefault="0065372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81B340" w14:textId="77777777" w:rsidR="006C4910" w:rsidRDefault="0065372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67056" w14:textId="77777777" w:rsidR="006C4910" w:rsidRDefault="0065372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D05969" w14:textId="77777777" w:rsidR="006C4910" w:rsidRDefault="0065372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1030241" w14:textId="77777777" w:rsidR="006C4910" w:rsidRDefault="0065372D">
            <w:pPr>
              <w:keepNext/>
              <w:keepLines/>
              <w:spacing w:after="0" w:line="240" w:lineRule="auto"/>
              <w:jc w:val="center"/>
            </w:pPr>
            <w:r>
              <w:rPr>
                <w:b/>
                <w:sz w:val="18"/>
              </w:rPr>
              <w:t>Indeks (%)</w:t>
            </w:r>
          </w:p>
        </w:tc>
      </w:tr>
      <w:tr w:rsidR="006C4910" w14:paraId="7AF35E62" w14:textId="77777777">
        <w:tblPrEx>
          <w:tblCellMar>
            <w:top w:w="0" w:type="dxa"/>
            <w:bottom w:w="0" w:type="dxa"/>
          </w:tblCellMar>
        </w:tblPrEx>
        <w:trPr>
          <w:cantSplit/>
          <w:trHeight w:val="560"/>
        </w:trPr>
        <w:tc>
          <w:tcPr>
            <w:tcW w:w="700" w:type="dxa"/>
            <w:tcMar>
              <w:top w:w="0" w:type="dxa"/>
              <w:bottom w:w="0" w:type="dxa"/>
            </w:tcMar>
            <w:vAlign w:val="center"/>
          </w:tcPr>
          <w:p w14:paraId="570517D9" w14:textId="77777777" w:rsidR="006C4910" w:rsidRDefault="006C4910">
            <w:pPr>
              <w:keepNext/>
              <w:keepLines/>
              <w:spacing w:after="0" w:line="240" w:lineRule="auto"/>
            </w:pPr>
          </w:p>
        </w:tc>
        <w:tc>
          <w:tcPr>
            <w:tcW w:w="3180" w:type="dxa"/>
            <w:tcMar>
              <w:top w:w="0" w:type="dxa"/>
              <w:bottom w:w="0" w:type="dxa"/>
            </w:tcMar>
            <w:vAlign w:val="center"/>
          </w:tcPr>
          <w:p w14:paraId="7970C488" w14:textId="77777777" w:rsidR="006C4910" w:rsidRDefault="0065372D">
            <w:pPr>
              <w:keepNext/>
              <w:keepLines/>
              <w:spacing w:after="0" w:line="240" w:lineRule="auto"/>
            </w:pPr>
            <w:r>
              <w:rPr>
                <w:sz w:val="18"/>
              </w:rPr>
              <w:t>Međusobne obveze subjekata općeg proračuna</w:t>
            </w:r>
          </w:p>
        </w:tc>
        <w:tc>
          <w:tcPr>
            <w:tcW w:w="700" w:type="dxa"/>
            <w:tcMar>
              <w:top w:w="0" w:type="dxa"/>
              <w:bottom w:w="0" w:type="dxa"/>
            </w:tcMar>
            <w:vAlign w:val="center"/>
          </w:tcPr>
          <w:p w14:paraId="76309A67" w14:textId="77777777" w:rsidR="006C4910" w:rsidRDefault="0065372D">
            <w:pPr>
              <w:keepNext/>
              <w:keepLines/>
              <w:spacing w:after="0" w:line="240" w:lineRule="auto"/>
            </w:pPr>
            <w:r>
              <w:rPr>
                <w:sz w:val="18"/>
              </w:rPr>
              <w:t>V010</w:t>
            </w:r>
          </w:p>
        </w:tc>
        <w:tc>
          <w:tcPr>
            <w:tcW w:w="1860" w:type="dxa"/>
            <w:tcMar>
              <w:top w:w="0" w:type="dxa"/>
              <w:bottom w:w="0" w:type="dxa"/>
            </w:tcMar>
            <w:vAlign w:val="center"/>
          </w:tcPr>
          <w:p w14:paraId="41A04B24" w14:textId="77777777" w:rsidR="006C4910" w:rsidRDefault="0065372D">
            <w:pPr>
              <w:keepNext/>
              <w:keepLines/>
              <w:spacing w:after="0" w:line="240" w:lineRule="auto"/>
              <w:jc w:val="right"/>
            </w:pPr>
            <w:r>
              <w:rPr>
                <w:sz w:val="18"/>
              </w:rPr>
              <w:t>55.059,16</w:t>
            </w:r>
          </w:p>
        </w:tc>
        <w:tc>
          <w:tcPr>
            <w:tcW w:w="700" w:type="dxa"/>
            <w:tcMar>
              <w:top w:w="0" w:type="dxa"/>
              <w:bottom w:w="0" w:type="dxa"/>
            </w:tcMar>
            <w:vAlign w:val="center"/>
          </w:tcPr>
          <w:p w14:paraId="3D6F894F" w14:textId="77777777" w:rsidR="006C4910" w:rsidRDefault="0065372D">
            <w:pPr>
              <w:keepNext/>
              <w:keepLines/>
              <w:spacing w:after="0" w:line="240" w:lineRule="auto"/>
              <w:jc w:val="right"/>
            </w:pPr>
            <w:r>
              <w:rPr>
                <w:sz w:val="18"/>
              </w:rPr>
              <w:t>-</w:t>
            </w:r>
          </w:p>
        </w:tc>
      </w:tr>
    </w:tbl>
    <w:p w14:paraId="6578C8C4" w14:textId="77777777" w:rsidR="006C4910" w:rsidRDefault="006C4910">
      <w:pPr>
        <w:spacing w:after="0"/>
      </w:pPr>
    </w:p>
    <w:p w14:paraId="65BAE815" w14:textId="77777777" w:rsidR="006C4910" w:rsidRDefault="0065372D">
      <w:r>
        <w:t>Međusobne obveze subjekata općeg proračuna obuhvaća iznos neutrošenih sredstava za povrat u proračun: 52.204,11 eura, te obvezu prema Ustanovi Dobri dom Grada Zagreba: 2.855,05 eura.</w:t>
      </w:r>
    </w:p>
    <w:p w14:paraId="4E666883" w14:textId="77777777" w:rsidR="006C4910" w:rsidRDefault="006C4910"/>
    <w:sectPr w:rsidR="006C49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10"/>
    <w:rsid w:val="0065372D"/>
    <w:rsid w:val="006C4910"/>
    <w:rsid w:val="00CC1AED"/>
    <w:rsid w:val="00FC0B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165"/>
  <w15:docId w15:val="{C788B93F-27EF-4AD4-9951-1B56C651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316EC0835B2D45BD403FA423C7F001" ma:contentTypeVersion="12" ma:contentTypeDescription="Stvaranje novog dokumenta." ma:contentTypeScope="" ma:versionID="029372e237152c08055a2d321a91a723">
  <xsd:schema xmlns:xsd="http://www.w3.org/2001/XMLSchema" xmlns:xs="http://www.w3.org/2001/XMLSchema" xmlns:p="http://schemas.microsoft.com/office/2006/metadata/properties" xmlns:ns2="70344e27-b13a-452a-8551-aa7507ae75f1" xmlns:ns3="77c27fb7-45be-45dd-8526-27ba62e56b3a" targetNamespace="http://schemas.microsoft.com/office/2006/metadata/properties" ma:root="true" ma:fieldsID="3f03464d0371ec339c7af06a408d4f17" ns2:_="" ns3:_="">
    <xsd:import namespace="70344e27-b13a-452a-8551-aa7507ae75f1"/>
    <xsd:import namespace="77c27fb7-45be-45dd-8526-27ba62e56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44e27-b13a-452a-8551-aa7507ae7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293a3e54-3a9b-4653-817d-4aeea24a64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27fb7-45be-45dd-8526-27ba62e56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2138b8-3b11-483a-a8df-b90b0b7410dc}" ma:internalName="TaxCatchAll" ma:showField="CatchAllData" ma:web="77c27fb7-45be-45dd-8526-27ba62e56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44e27-b13a-452a-8551-aa7507ae75f1">
      <Terms xmlns="http://schemas.microsoft.com/office/infopath/2007/PartnerControls"/>
    </lcf76f155ced4ddcb4097134ff3c332f>
    <TaxCatchAll xmlns="77c27fb7-45be-45dd-8526-27ba62e56b3a" xsi:nil="true"/>
  </documentManagement>
</p:properties>
</file>

<file path=customXml/itemProps1.xml><?xml version="1.0" encoding="utf-8"?>
<ds:datastoreItem xmlns:ds="http://schemas.openxmlformats.org/officeDocument/2006/customXml" ds:itemID="{196E628F-FA7C-4608-B3C5-1192EF86098E}"/>
</file>

<file path=customXml/itemProps2.xml><?xml version="1.0" encoding="utf-8"?>
<ds:datastoreItem xmlns:ds="http://schemas.openxmlformats.org/officeDocument/2006/customXml" ds:itemID="{6ECB8B33-18B8-42B5-B9D2-ECCA0E9178E6}"/>
</file>

<file path=customXml/itemProps3.xml><?xml version="1.0" encoding="utf-8"?>
<ds:datastoreItem xmlns:ds="http://schemas.openxmlformats.org/officeDocument/2006/customXml" ds:itemID="{43CE8548-11AD-4E9D-97E5-2F955045209C}"/>
</file>

<file path=docProps/app.xml><?xml version="1.0" encoding="utf-8"?>
<Properties xmlns="http://schemas.openxmlformats.org/officeDocument/2006/extended-properties" xmlns:vt="http://schemas.openxmlformats.org/officeDocument/2006/docPropsVTypes">
  <Template>Normal</Template>
  <TotalTime>0</TotalTime>
  <Pages>12</Pages>
  <Words>2357</Words>
  <Characters>13440</Characters>
  <Application>Microsoft Office Word</Application>
  <DocSecurity>0</DocSecurity>
  <Lines>112</Lines>
  <Paragraphs>31</Paragraphs>
  <ScaleCrop>false</ScaleCrop>
  <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dc:creator>
  <cp:lastModifiedBy>Dalibor Stanić</cp:lastModifiedBy>
  <cp:revision>2</cp:revision>
  <dcterms:created xsi:type="dcterms:W3CDTF">2026-02-09T08:44:00Z</dcterms:created>
  <dcterms:modified xsi:type="dcterms:W3CDTF">2026-02-09T08:44:00Z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0x010100F7316EC0835B2D45BD403FA423C7F001</vt:lpwstr>
  </property>
</Properties>
</file>